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A4F" w:rsidRDefault="00DD6A4F" w:rsidP="00DD6A4F">
      <w:pPr>
        <w:ind w:leftChars="-59" w:left="-142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附表</w:t>
      </w:r>
      <w:r>
        <w:rPr>
          <w:rFonts w:eastAsia="標楷體"/>
          <w:b/>
          <w:sz w:val="28"/>
          <w:szCs w:val="28"/>
        </w:rPr>
        <w:t>1</w:t>
      </w:r>
      <w:r>
        <w:rPr>
          <w:rFonts w:eastAsia="標楷體" w:hint="eastAsia"/>
          <w:b/>
          <w:sz w:val="28"/>
          <w:szCs w:val="28"/>
        </w:rPr>
        <w:t>、</w:t>
      </w:r>
      <w:r>
        <w:rPr>
          <w:rFonts w:eastAsia="標楷體"/>
          <w:b/>
          <w:sz w:val="28"/>
          <w:szCs w:val="28"/>
        </w:rPr>
        <w:t>2012</w:t>
      </w:r>
      <w:r>
        <w:rPr>
          <w:rFonts w:eastAsia="標楷體" w:hint="eastAsia"/>
          <w:b/>
          <w:sz w:val="28"/>
          <w:szCs w:val="28"/>
        </w:rPr>
        <w:t>年我國自新加坡進口之主要農產品</w:t>
      </w:r>
    </w:p>
    <w:tbl>
      <w:tblPr>
        <w:tblW w:w="5081" w:type="pct"/>
        <w:tblInd w:w="-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2"/>
        <w:gridCol w:w="2451"/>
        <w:gridCol w:w="2620"/>
      </w:tblGrid>
      <w:tr w:rsidR="00DD6A4F" w:rsidTr="00DD6A4F">
        <w:trPr>
          <w:trHeight w:val="567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品項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進口量</w:t>
            </w:r>
          </w:p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（公噸）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進口值</w:t>
            </w:r>
          </w:p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（千美元）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含菸葉之紙</w:t>
            </w:r>
            <w:proofErr w:type="gramStart"/>
            <w:r>
              <w:rPr>
                <w:rFonts w:eastAsia="標楷體" w:hint="eastAsia"/>
              </w:rPr>
              <w:t>菸</w:t>
            </w:r>
            <w:proofErr w:type="gramEnd"/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ind w:firstLine="274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882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14,328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調製奶粉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1,619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11,895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嬰幼兒調製品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textAlignment w:val="baseline"/>
              <w:rPr>
                <w:rFonts w:eastAsia="標楷體"/>
              </w:rPr>
            </w:pPr>
            <w:r>
              <w:rPr>
                <w:rFonts w:eastAsia="標楷體"/>
              </w:rPr>
              <w:t>1,142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textAlignment w:val="baseline"/>
              <w:rPr>
                <w:rFonts w:eastAsia="標楷體"/>
              </w:rPr>
            </w:pPr>
            <w:r>
              <w:rPr>
                <w:rFonts w:eastAsia="標楷體"/>
              </w:rPr>
              <w:t>10,923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其他未列名食物調製品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276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9,742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咖啡乳劑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4,811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8,029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病患用特殊營養食品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textAlignment w:val="baseline"/>
              <w:rPr>
                <w:rFonts w:eastAsia="標楷體"/>
              </w:rPr>
            </w:pPr>
            <w:r>
              <w:rPr>
                <w:rFonts w:eastAsia="標楷體"/>
              </w:rPr>
              <w:t>288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textAlignment w:val="baseline"/>
              <w:rPr>
                <w:rFonts w:eastAsia="標楷體"/>
              </w:rPr>
            </w:pPr>
            <w:r>
              <w:rPr>
                <w:rFonts w:eastAsia="標楷體"/>
              </w:rPr>
              <w:t>3,269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人造奶油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1,434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3,187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其他可食動植物油脂混合品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1,130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2,371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酥脆油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1,315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2,294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食品製造用芳香物質混合調製品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79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2,170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調製動物飼料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722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1,619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羽毛及羽絨</w:t>
            </w:r>
            <w:proofErr w:type="gramEnd"/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378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1,851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未加糖可可粉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355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1,789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茶或</w:t>
            </w:r>
            <w:proofErr w:type="gramStart"/>
            <w:r>
              <w:rPr>
                <w:rFonts w:eastAsia="標楷體" w:hint="eastAsia"/>
              </w:rPr>
              <w:t>馬黛茶</w:t>
            </w:r>
            <w:proofErr w:type="gramEnd"/>
            <w:r>
              <w:rPr>
                <w:rFonts w:eastAsia="標楷體" w:hint="eastAsia"/>
              </w:rPr>
              <w:t>之萃取物或濃縮物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128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1,728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甜餅乾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506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1,482</w:t>
            </w:r>
          </w:p>
        </w:tc>
      </w:tr>
      <w:tr w:rsidR="00DD6A4F" w:rsidTr="00DD6A4F">
        <w:trPr>
          <w:trHeight w:val="454"/>
        </w:trPr>
        <w:tc>
          <w:tcPr>
            <w:tcW w:w="20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食品製造用不攙酒精之化合品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375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1,460</w:t>
            </w:r>
          </w:p>
        </w:tc>
      </w:tr>
    </w:tbl>
    <w:p w:rsidR="00DD6A4F" w:rsidRDefault="00DD6A4F" w:rsidP="00DD6A4F">
      <w:pPr>
        <w:ind w:leftChars="-59" w:left="-142"/>
        <w:jc w:val="center"/>
        <w:rPr>
          <w:rFonts w:eastAsia="標楷體"/>
          <w:b/>
          <w:sz w:val="28"/>
          <w:szCs w:val="28"/>
        </w:rPr>
      </w:pPr>
    </w:p>
    <w:p w:rsidR="00DD6A4F" w:rsidRDefault="00DD6A4F" w:rsidP="00DD6A4F">
      <w:pPr>
        <w:ind w:leftChars="-59" w:left="-142"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br w:type="page"/>
      </w:r>
      <w:r>
        <w:rPr>
          <w:rFonts w:eastAsia="標楷體" w:hint="eastAsia"/>
          <w:b/>
          <w:sz w:val="28"/>
          <w:szCs w:val="28"/>
        </w:rPr>
        <w:lastRenderedPageBreak/>
        <w:t>附表</w:t>
      </w:r>
      <w:r>
        <w:rPr>
          <w:rFonts w:eastAsia="標楷體"/>
          <w:b/>
          <w:sz w:val="28"/>
          <w:szCs w:val="28"/>
        </w:rPr>
        <w:t>2</w:t>
      </w:r>
      <w:r>
        <w:rPr>
          <w:rFonts w:eastAsia="標楷體" w:hint="eastAsia"/>
          <w:b/>
          <w:sz w:val="28"/>
          <w:szCs w:val="28"/>
        </w:rPr>
        <w:t>、</w:t>
      </w:r>
      <w:r>
        <w:rPr>
          <w:rFonts w:eastAsia="標楷體"/>
          <w:b/>
          <w:sz w:val="28"/>
          <w:szCs w:val="28"/>
        </w:rPr>
        <w:t>2012</w:t>
      </w:r>
      <w:r>
        <w:rPr>
          <w:rFonts w:eastAsia="標楷體" w:hint="eastAsia"/>
          <w:b/>
          <w:sz w:val="28"/>
          <w:szCs w:val="28"/>
        </w:rPr>
        <w:t>年我國出口至新加坡之主要農產品</w:t>
      </w:r>
    </w:p>
    <w:tbl>
      <w:tblPr>
        <w:tblW w:w="5081" w:type="pct"/>
        <w:tblInd w:w="-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2450"/>
        <w:gridCol w:w="2620"/>
      </w:tblGrid>
      <w:tr w:rsidR="00DD6A4F" w:rsidTr="00DD6A4F">
        <w:trPr>
          <w:trHeight w:val="567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品項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出口量</w:t>
            </w:r>
          </w:p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（公噸）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出口值</w:t>
            </w:r>
          </w:p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（千美元）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其他未列名食物調製品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1,200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63" w:right="871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9,118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含糖飲料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11,919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63" w:right="871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6,581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冷凍劍</w:t>
            </w:r>
            <w:proofErr w:type="gramEnd"/>
            <w:r>
              <w:rPr>
                <w:rFonts w:eastAsia="標楷體" w:hint="eastAsia"/>
              </w:rPr>
              <w:t>旗魚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1,152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63" w:right="871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5,679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其他烘焙食品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408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63" w:right="871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2,703 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調製保藏鮑魚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151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63" w:right="871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2,603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其他冷凍魚類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1,121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63" w:right="871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2,378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冷凍長鰭</w:t>
            </w:r>
            <w:proofErr w:type="gramStart"/>
            <w:r>
              <w:rPr>
                <w:rFonts w:eastAsia="標楷體" w:hint="eastAsia"/>
              </w:rPr>
              <w:t>鮪</w:t>
            </w:r>
            <w:proofErr w:type="gramEnd"/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771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63" w:right="871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1,978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咖啡乳劑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493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63" w:right="871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1,769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環氧黃豆油</w:t>
            </w:r>
            <w:proofErr w:type="gramEnd"/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957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57" w:right="857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1,618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蘭花等其他植物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370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57" w:right="857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1,606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調製保藏果實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382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57" w:right="857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1,553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調製保藏鰻魚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34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57" w:right="857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1,419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種植用種子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6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57" w:right="857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1,317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醋酸調製保藏之植物可食用部分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362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57" w:right="857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1,355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生鮮冷藏食用菇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642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57" w:right="857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1,321</w:t>
            </w:r>
          </w:p>
        </w:tc>
      </w:tr>
      <w:tr w:rsidR="00DD6A4F" w:rsidTr="00DD6A4F">
        <w:trPr>
          <w:trHeight w:val="454"/>
        </w:trPr>
        <w:tc>
          <w:tcPr>
            <w:tcW w:w="2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冷凍</w:t>
            </w:r>
            <w:proofErr w:type="gramStart"/>
            <w:r>
              <w:rPr>
                <w:rFonts w:eastAsia="標楷體" w:hint="eastAsia"/>
              </w:rPr>
              <w:t>鯖</w:t>
            </w:r>
            <w:proofErr w:type="gramEnd"/>
            <w:r>
              <w:rPr>
                <w:rFonts w:eastAsia="標楷體" w:hint="eastAsia"/>
              </w:rPr>
              <w:t>魚</w:t>
            </w:r>
          </w:p>
        </w:tc>
        <w:tc>
          <w:tcPr>
            <w:tcW w:w="1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27" w:right="785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1,019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6A4F" w:rsidRDefault="00DD6A4F">
            <w:pPr>
              <w:spacing w:line="280" w:lineRule="exact"/>
              <w:ind w:rightChars="357" w:right="857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1,233</w:t>
            </w:r>
          </w:p>
        </w:tc>
      </w:tr>
    </w:tbl>
    <w:p w:rsidR="00DD6A4F" w:rsidRDefault="00DD6A4F" w:rsidP="00DD6A4F">
      <w:pPr>
        <w:ind w:leftChars="-59" w:left="-142"/>
        <w:jc w:val="center"/>
        <w:rPr>
          <w:rFonts w:eastAsia="標楷體"/>
          <w:b/>
          <w:sz w:val="28"/>
          <w:szCs w:val="28"/>
        </w:rPr>
      </w:pPr>
    </w:p>
    <w:p w:rsidR="00DD6A4F" w:rsidRDefault="00DD6A4F" w:rsidP="00DD6A4F">
      <w:pPr>
        <w:ind w:leftChars="-59" w:left="-142"/>
        <w:jc w:val="center"/>
        <w:rPr>
          <w:rFonts w:eastAsia="標楷體"/>
          <w:b/>
          <w:sz w:val="28"/>
          <w:szCs w:val="28"/>
        </w:rPr>
      </w:pPr>
    </w:p>
    <w:p w:rsidR="00DD6A4F" w:rsidRDefault="00DD6A4F" w:rsidP="00DD6A4F">
      <w:pPr>
        <w:ind w:leftChars="-59" w:left="-142"/>
        <w:jc w:val="center"/>
        <w:rPr>
          <w:rFonts w:eastAsia="標楷體" w:hint="eastAsia"/>
          <w:b/>
          <w:sz w:val="28"/>
          <w:szCs w:val="28"/>
        </w:rPr>
      </w:pPr>
    </w:p>
    <w:p w:rsidR="00DD6A4F" w:rsidRDefault="00DD6A4F" w:rsidP="00DD6A4F">
      <w:pPr>
        <w:ind w:leftChars="-59" w:left="-142"/>
        <w:jc w:val="center"/>
        <w:rPr>
          <w:rFonts w:eastAsia="標楷體" w:hint="eastAsia"/>
          <w:b/>
          <w:sz w:val="28"/>
          <w:szCs w:val="28"/>
        </w:rPr>
      </w:pPr>
    </w:p>
    <w:p w:rsidR="00DD6A4F" w:rsidRDefault="00DD6A4F" w:rsidP="00DD6A4F">
      <w:pPr>
        <w:ind w:leftChars="-59" w:left="-142"/>
        <w:jc w:val="center"/>
        <w:rPr>
          <w:rFonts w:eastAsia="標楷體" w:hint="eastAsia"/>
          <w:b/>
          <w:sz w:val="28"/>
          <w:szCs w:val="28"/>
        </w:rPr>
      </w:pPr>
    </w:p>
    <w:p w:rsidR="00DD6A4F" w:rsidRDefault="00DD6A4F" w:rsidP="00DD6A4F">
      <w:pPr>
        <w:ind w:leftChars="-59" w:left="-142"/>
        <w:jc w:val="center"/>
        <w:rPr>
          <w:rFonts w:eastAsia="標楷體" w:hint="eastAsia"/>
          <w:b/>
          <w:sz w:val="28"/>
          <w:szCs w:val="28"/>
        </w:rPr>
      </w:pPr>
    </w:p>
    <w:p w:rsidR="00DD6A4F" w:rsidRDefault="00DD6A4F" w:rsidP="00DD6A4F">
      <w:pPr>
        <w:ind w:leftChars="-59" w:left="-142"/>
        <w:jc w:val="center"/>
        <w:rPr>
          <w:rFonts w:eastAsia="標楷體"/>
          <w:color w:val="000000"/>
          <w:kern w:val="24"/>
        </w:rPr>
      </w:pPr>
      <w:bookmarkStart w:id="0" w:name="_GoBack"/>
      <w:bookmarkEnd w:id="0"/>
      <w:r>
        <w:rPr>
          <w:rFonts w:eastAsia="標楷體" w:hint="eastAsia"/>
          <w:b/>
          <w:sz w:val="28"/>
          <w:szCs w:val="28"/>
        </w:rPr>
        <w:lastRenderedPageBreak/>
        <w:t>附表</w:t>
      </w:r>
      <w:r>
        <w:rPr>
          <w:rFonts w:eastAsia="標楷體"/>
          <w:b/>
          <w:sz w:val="28"/>
          <w:szCs w:val="28"/>
        </w:rPr>
        <w:t>3</w:t>
      </w:r>
      <w:r>
        <w:rPr>
          <w:rFonts w:eastAsia="標楷體" w:hint="eastAsia"/>
          <w:b/>
          <w:sz w:val="28"/>
          <w:szCs w:val="28"/>
        </w:rPr>
        <w:t>、</w:t>
      </w:r>
      <w:proofErr w:type="gramStart"/>
      <w:r>
        <w:rPr>
          <w:rFonts w:eastAsia="標楷體" w:hint="eastAsia"/>
          <w:b/>
          <w:sz w:val="28"/>
          <w:szCs w:val="28"/>
        </w:rPr>
        <w:t>臺</w:t>
      </w:r>
      <w:proofErr w:type="gramEnd"/>
      <w:r>
        <w:rPr>
          <w:rFonts w:eastAsia="標楷體" w:hint="eastAsia"/>
          <w:b/>
          <w:sz w:val="28"/>
          <w:szCs w:val="28"/>
        </w:rPr>
        <w:t>星經濟夥伴協定我國農產品關稅減讓統計表</w:t>
      </w:r>
    </w:p>
    <w:tbl>
      <w:tblPr>
        <w:tblW w:w="5550" w:type="pct"/>
        <w:tblInd w:w="-3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1560"/>
        <w:gridCol w:w="1699"/>
        <w:gridCol w:w="4394"/>
      </w:tblGrid>
      <w:tr w:rsidR="00DD6A4F" w:rsidTr="00DD6A4F">
        <w:trPr>
          <w:trHeight w:val="1112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我國降稅期程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農產品項數</w:t>
            </w:r>
          </w:p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(</w:t>
            </w:r>
            <w:r>
              <w:rPr>
                <w:rFonts w:eastAsia="標楷體" w:hint="eastAsia"/>
                <w:color w:val="000000"/>
                <w:kern w:val="24"/>
              </w:rPr>
              <w:t>稅則</w:t>
            </w:r>
            <w:r>
              <w:rPr>
                <w:rFonts w:eastAsia="標楷體"/>
                <w:color w:val="000000"/>
                <w:kern w:val="24"/>
              </w:rPr>
              <w:t>8</w:t>
            </w:r>
            <w:r>
              <w:rPr>
                <w:rFonts w:eastAsia="標楷體" w:hint="eastAsia"/>
                <w:color w:val="000000"/>
                <w:kern w:val="24"/>
              </w:rPr>
              <w:t>位碼</w:t>
            </w:r>
            <w:r>
              <w:rPr>
                <w:rFonts w:eastAsia="標楷體"/>
                <w:color w:val="000000"/>
                <w:kern w:val="24"/>
              </w:rPr>
              <w:t>)</w:t>
            </w:r>
          </w:p>
        </w:tc>
        <w:tc>
          <w:tcPr>
            <w:tcW w:w="908" w:type="pct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占農產品總項數比率</w:t>
            </w:r>
          </w:p>
        </w:tc>
        <w:tc>
          <w:tcPr>
            <w:tcW w:w="2349" w:type="pct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重要品項</w:t>
            </w:r>
          </w:p>
        </w:tc>
      </w:tr>
      <w:tr w:rsidR="00DD6A4F" w:rsidTr="00DD6A4F">
        <w:trPr>
          <w:trHeight w:val="1186"/>
        </w:trPr>
        <w:tc>
          <w:tcPr>
            <w:tcW w:w="909" w:type="pct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立即降稅</w:t>
            </w:r>
          </w:p>
        </w:tc>
        <w:tc>
          <w:tcPr>
            <w:tcW w:w="834" w:type="pct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1,196</w:t>
            </w:r>
          </w:p>
        </w:tc>
        <w:tc>
          <w:tcPr>
            <w:tcW w:w="908" w:type="pct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65.97%</w:t>
            </w:r>
          </w:p>
        </w:tc>
        <w:tc>
          <w:tcPr>
            <w:tcW w:w="2349" w:type="pct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活動物、冷藏牛肉、冷凍</w:t>
            </w:r>
            <w:proofErr w:type="gramStart"/>
            <w:r>
              <w:rPr>
                <w:rFonts w:eastAsia="標楷體" w:hint="eastAsia"/>
                <w:color w:val="000000"/>
                <w:kern w:val="24"/>
              </w:rPr>
              <w:t>牛雜、豬雜、雞雜</w:t>
            </w:r>
            <w:proofErr w:type="gramEnd"/>
            <w:r>
              <w:rPr>
                <w:rFonts w:eastAsia="標楷體" w:hint="eastAsia"/>
                <w:color w:val="000000"/>
                <w:kern w:val="24"/>
              </w:rPr>
              <w:t>、生鮮或冷藏魚、冷凍魚、龍蝦、咖啡、植物油及其</w:t>
            </w:r>
            <w:proofErr w:type="gramStart"/>
            <w:r>
              <w:rPr>
                <w:rFonts w:eastAsia="標楷體" w:hint="eastAsia"/>
                <w:color w:val="000000"/>
                <w:kern w:val="24"/>
              </w:rPr>
              <w:t>餾分物</w:t>
            </w:r>
            <w:proofErr w:type="gramEnd"/>
            <w:r>
              <w:rPr>
                <w:rFonts w:eastAsia="標楷體" w:hint="eastAsia"/>
                <w:color w:val="000000"/>
                <w:kern w:val="24"/>
              </w:rPr>
              <w:t>、調製食品、中藥材等</w:t>
            </w:r>
          </w:p>
        </w:tc>
      </w:tr>
      <w:tr w:rsidR="00DD6A4F" w:rsidTr="00DD6A4F">
        <w:trPr>
          <w:trHeight w:val="748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5</w:t>
            </w:r>
            <w:r>
              <w:rPr>
                <w:rFonts w:eastAsia="標楷體" w:hint="eastAsia"/>
                <w:color w:val="000000"/>
                <w:kern w:val="24"/>
              </w:rPr>
              <w:t>年後免稅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64</w:t>
            </w:r>
          </w:p>
        </w:tc>
        <w:tc>
          <w:tcPr>
            <w:tcW w:w="9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3.53%</w:t>
            </w:r>
          </w:p>
        </w:tc>
        <w:tc>
          <w:tcPr>
            <w:tcW w:w="2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觀賞魚、冷凍魚片、粉絲、人造奶油、調製奶品等</w:t>
            </w:r>
          </w:p>
        </w:tc>
      </w:tr>
      <w:tr w:rsidR="00DD6A4F" w:rsidTr="00DD6A4F">
        <w:trPr>
          <w:trHeight w:val="1186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10</w:t>
            </w:r>
            <w:r>
              <w:rPr>
                <w:rFonts w:eastAsia="標楷體" w:hint="eastAsia"/>
                <w:color w:val="000000"/>
                <w:kern w:val="24"/>
              </w:rPr>
              <w:t>年後免稅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466</w:t>
            </w:r>
          </w:p>
        </w:tc>
        <w:tc>
          <w:tcPr>
            <w:tcW w:w="9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25.70%</w:t>
            </w:r>
          </w:p>
        </w:tc>
        <w:tc>
          <w:tcPr>
            <w:tcW w:w="2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冷凍牛肉、豬肉、羊肉、雞肉、乳酪、蜂蜜、牡蠣、洋蔥、蘆筍、菇類、冷凍蔬菜、水果、調製或保藏蔬果、茶葉、果汁、酒等</w:t>
            </w:r>
          </w:p>
        </w:tc>
      </w:tr>
      <w:tr w:rsidR="00DD6A4F" w:rsidTr="00DD6A4F">
        <w:trPr>
          <w:trHeight w:val="850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15</w:t>
            </w:r>
            <w:r>
              <w:rPr>
                <w:rFonts w:eastAsia="標楷體" w:hint="eastAsia"/>
                <w:color w:val="000000"/>
                <w:kern w:val="24"/>
              </w:rPr>
              <w:t>年後免稅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41</w:t>
            </w:r>
          </w:p>
        </w:tc>
        <w:tc>
          <w:tcPr>
            <w:tcW w:w="9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2.26%</w:t>
            </w:r>
          </w:p>
        </w:tc>
        <w:tc>
          <w:tcPr>
            <w:tcW w:w="2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魚翅、鮮乳、</w:t>
            </w:r>
            <w:proofErr w:type="gramStart"/>
            <w:r>
              <w:rPr>
                <w:rFonts w:eastAsia="標楷體" w:hint="eastAsia"/>
                <w:color w:val="000000"/>
                <w:kern w:val="24"/>
              </w:rPr>
              <w:t>保久乳</w:t>
            </w:r>
            <w:proofErr w:type="gramEnd"/>
            <w:r>
              <w:rPr>
                <w:rFonts w:eastAsia="標楷體" w:hint="eastAsia"/>
                <w:color w:val="000000"/>
                <w:kern w:val="24"/>
              </w:rPr>
              <w:t>、調味乳、香蕉、柚子、梨、帶殼花生、米食調製品等</w:t>
            </w:r>
          </w:p>
        </w:tc>
      </w:tr>
      <w:tr w:rsidR="00DD6A4F" w:rsidTr="00DD6A4F">
        <w:trPr>
          <w:trHeight w:val="850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5</w:t>
            </w:r>
            <w:r>
              <w:rPr>
                <w:rFonts w:eastAsia="標楷體" w:hint="eastAsia"/>
                <w:color w:val="000000"/>
                <w:kern w:val="24"/>
              </w:rPr>
              <w:t>年後降至原關稅之</w:t>
            </w:r>
            <w:r>
              <w:rPr>
                <w:rFonts w:eastAsia="標楷體"/>
                <w:color w:val="000000"/>
                <w:kern w:val="24"/>
              </w:rPr>
              <w:t>80%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6</w:t>
            </w:r>
          </w:p>
        </w:tc>
        <w:tc>
          <w:tcPr>
            <w:tcW w:w="9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0.33%</w:t>
            </w:r>
          </w:p>
        </w:tc>
        <w:tc>
          <w:tcPr>
            <w:tcW w:w="2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紙</w:t>
            </w:r>
            <w:proofErr w:type="gramStart"/>
            <w:r>
              <w:rPr>
                <w:rFonts w:eastAsia="標楷體" w:hint="eastAsia"/>
                <w:color w:val="000000"/>
                <w:kern w:val="24"/>
              </w:rPr>
              <w:t>菸</w:t>
            </w:r>
            <w:proofErr w:type="gramEnd"/>
            <w:r>
              <w:rPr>
                <w:rFonts w:eastAsia="標楷體" w:hint="eastAsia"/>
                <w:color w:val="000000"/>
                <w:kern w:val="24"/>
              </w:rPr>
              <w:t>、雪茄及水</w:t>
            </w:r>
            <w:proofErr w:type="gramStart"/>
            <w:r>
              <w:rPr>
                <w:rFonts w:eastAsia="標楷體" w:hint="eastAsia"/>
                <w:color w:val="000000"/>
                <w:kern w:val="24"/>
              </w:rPr>
              <w:t>菸</w:t>
            </w:r>
            <w:proofErr w:type="gramEnd"/>
            <w:r>
              <w:rPr>
                <w:rFonts w:eastAsia="標楷體" w:hint="eastAsia"/>
                <w:color w:val="000000"/>
                <w:kern w:val="24"/>
              </w:rPr>
              <w:t>等</w:t>
            </w:r>
            <w:proofErr w:type="gramStart"/>
            <w:r>
              <w:rPr>
                <w:rFonts w:eastAsia="標楷體" w:hint="eastAsia"/>
                <w:color w:val="000000"/>
                <w:kern w:val="24"/>
              </w:rPr>
              <w:t>菸</w:t>
            </w:r>
            <w:proofErr w:type="gramEnd"/>
            <w:r>
              <w:rPr>
                <w:rFonts w:eastAsia="標楷體" w:hint="eastAsia"/>
                <w:color w:val="000000"/>
                <w:kern w:val="24"/>
              </w:rPr>
              <w:t>品</w:t>
            </w:r>
          </w:p>
        </w:tc>
      </w:tr>
      <w:tr w:rsidR="00DD6A4F" w:rsidTr="00DD6A4F">
        <w:trPr>
          <w:trHeight w:val="1152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排除降稅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40</w:t>
            </w:r>
          </w:p>
        </w:tc>
        <w:tc>
          <w:tcPr>
            <w:tcW w:w="9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2.21%</w:t>
            </w:r>
          </w:p>
        </w:tc>
        <w:tc>
          <w:tcPr>
            <w:tcW w:w="2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稻米類產品、鹿茸、液態乳、大蒜、去殼花生、紅豆、鳳梨、芒果、椰子、桂圓、乾香菇、乾金針、精製糖等</w:t>
            </w:r>
          </w:p>
        </w:tc>
      </w:tr>
      <w:tr w:rsidR="00DD6A4F" w:rsidTr="00DD6A4F">
        <w:trPr>
          <w:trHeight w:val="628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 w:hint="eastAsia"/>
                <w:color w:val="000000"/>
                <w:kern w:val="24"/>
              </w:rPr>
              <w:t>小計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1,813</w:t>
            </w:r>
          </w:p>
        </w:tc>
        <w:tc>
          <w:tcPr>
            <w:tcW w:w="9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spacing w:line="400" w:lineRule="exact"/>
              <w:jc w:val="center"/>
              <w:textAlignment w:val="baseline"/>
              <w:rPr>
                <w:rFonts w:eastAsia="標楷體"/>
                <w:color w:val="000000"/>
                <w:kern w:val="24"/>
              </w:rPr>
            </w:pPr>
            <w:r>
              <w:rPr>
                <w:rFonts w:eastAsia="標楷體"/>
                <w:color w:val="000000"/>
                <w:kern w:val="24"/>
              </w:rPr>
              <w:t>100%</w:t>
            </w:r>
          </w:p>
        </w:tc>
        <w:tc>
          <w:tcPr>
            <w:tcW w:w="2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D6A4F" w:rsidRDefault="00DD6A4F">
            <w:pPr>
              <w:widowControl/>
              <w:rPr>
                <w:kern w:val="0"/>
                <w:sz w:val="20"/>
                <w:szCs w:val="20"/>
              </w:rPr>
            </w:pPr>
          </w:p>
        </w:tc>
      </w:tr>
    </w:tbl>
    <w:p w:rsidR="00DD6A4F" w:rsidRDefault="00DD6A4F" w:rsidP="00DD6A4F">
      <w:pPr>
        <w:spacing w:line="440" w:lineRule="exact"/>
      </w:pPr>
    </w:p>
    <w:p w:rsidR="00DD6A4F" w:rsidRDefault="00DD6A4F" w:rsidP="00DD6A4F">
      <w:pPr>
        <w:rPr>
          <w:noProof/>
        </w:rPr>
      </w:pPr>
    </w:p>
    <w:p w:rsidR="00DD6A4F" w:rsidRDefault="00DD6A4F" w:rsidP="00DD6A4F">
      <w:pPr>
        <w:rPr>
          <w:noProof/>
        </w:rPr>
      </w:pPr>
    </w:p>
    <w:p w:rsidR="00DD6A4F" w:rsidRDefault="00DD6A4F" w:rsidP="00DD6A4F">
      <w:pPr>
        <w:rPr>
          <w:noProof/>
        </w:rPr>
      </w:pPr>
    </w:p>
    <w:p w:rsidR="00DD6A4F" w:rsidRDefault="00DD6A4F" w:rsidP="00DD6A4F">
      <w:pPr>
        <w:rPr>
          <w:noProof/>
        </w:rPr>
      </w:pPr>
    </w:p>
    <w:p w:rsidR="00574B15" w:rsidRDefault="00574B15"/>
    <w:sectPr w:rsidR="00574B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A4F"/>
    <w:rsid w:val="003062A5"/>
    <w:rsid w:val="00574B15"/>
    <w:rsid w:val="00DD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A4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3062A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2A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062A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3062A5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3062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A4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3062A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2A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062A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3062A5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3062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6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公關科華寶蓓</dc:creator>
  <cp:lastModifiedBy>公關科華寶蓓</cp:lastModifiedBy>
  <cp:revision>1</cp:revision>
  <dcterms:created xsi:type="dcterms:W3CDTF">2013-11-07T06:39:00Z</dcterms:created>
  <dcterms:modified xsi:type="dcterms:W3CDTF">2013-11-07T06:40:00Z</dcterms:modified>
</cp:coreProperties>
</file>