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2502B9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</w:tabs>
        <w:autoSpaceDE w:val="0"/>
        <w:autoSpaceDN w:val="0"/>
        <w:spacing w:line="560" w:lineRule="atLeast"/>
        <w:ind w:right="-76"/>
        <w:jc w:val="both"/>
        <w:rPr>
          <w:rFonts w:ascii="DFKai-SB" w:eastAsia="DFKai-SB" w:hint="eastAsia"/>
          <w:sz w:val="32"/>
        </w:rPr>
      </w:pPr>
      <w:bookmarkStart w:id="0" w:name="_GoBack"/>
      <w:bookmarkEnd w:id="0"/>
      <w:r>
        <w:rPr>
          <w:rFonts w:ascii="DFKai-SB" w:eastAsia="DFKai-SB"/>
          <w:noProof/>
          <w:sz w:val="32"/>
        </w:rPr>
        <w:drawing>
          <wp:inline distT="0" distB="0" distL="0" distR="0">
            <wp:extent cx="2788920" cy="2331720"/>
            <wp:effectExtent l="0" t="0" r="0" b="0"/>
            <wp:docPr id="1" name="物件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>
        <w:rPr>
          <w:rFonts w:ascii="DFKai-SB" w:eastAsia="DFKai-SB"/>
          <w:noProof/>
          <w:sz w:val="32"/>
        </w:rPr>
        <w:drawing>
          <wp:inline distT="0" distB="0" distL="0" distR="0">
            <wp:extent cx="3006090" cy="2308860"/>
            <wp:effectExtent l="0" t="0" r="0" b="0"/>
            <wp:docPr id="2" name="物件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000000" w:rsidRDefault="002502B9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</w:tabs>
        <w:autoSpaceDE w:val="0"/>
        <w:autoSpaceDN w:val="0"/>
        <w:spacing w:line="560" w:lineRule="atLeast"/>
        <w:ind w:right="-76"/>
        <w:jc w:val="both"/>
        <w:rPr>
          <w:rFonts w:ascii="DFKai-SB" w:eastAsia="DFKai-SB" w:hint="eastAsia"/>
          <w:sz w:val="32"/>
        </w:rPr>
      </w:pPr>
      <w:r>
        <w:rPr>
          <w:rFonts w:ascii="DFKai-SB" w:eastAsia="DFKai-SB"/>
          <w:noProof/>
          <w:sz w:val="32"/>
        </w:rPr>
        <w:drawing>
          <wp:anchor distT="0" distB="0" distL="114300" distR="114300" simplePos="0" relativeHeight="251656192" behindDoc="0" locked="0" layoutInCell="0" allowOverlap="1">
            <wp:simplePos x="0" y="0"/>
            <wp:positionH relativeFrom="column">
              <wp:posOffset>114300</wp:posOffset>
            </wp:positionH>
            <wp:positionV relativeFrom="paragraph">
              <wp:posOffset>2557145</wp:posOffset>
            </wp:positionV>
            <wp:extent cx="2628900" cy="1678305"/>
            <wp:effectExtent l="0" t="0" r="0" b="0"/>
            <wp:wrapTopAndBottom/>
            <wp:docPr id="7" name="圖片 3" descr="..\一般圖片檔\一般圖片\水稻-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\一般圖片檔\一般圖片\水稻-1.b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67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DFKai-SB" w:eastAsia="DFKai-SB"/>
          <w:noProof/>
          <w:sz w:val="32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3086100</wp:posOffset>
            </wp:positionH>
            <wp:positionV relativeFrom="paragraph">
              <wp:posOffset>2557145</wp:posOffset>
            </wp:positionV>
            <wp:extent cx="2628900" cy="1665605"/>
            <wp:effectExtent l="0" t="0" r="0" b="0"/>
            <wp:wrapTopAndBottom/>
            <wp:docPr id="6" name="圖片 4" descr="..\一般圖片檔\一般圖片\田菁-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\一般圖片檔\一般圖片\田菁-1.b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66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DFKai-SB" w:eastAsia="DFKai-SB"/>
          <w:noProof/>
          <w:sz w:val="32"/>
        </w:rPr>
        <w:drawing>
          <wp:inline distT="0" distB="0" distL="0" distR="0">
            <wp:extent cx="2731770" cy="2434590"/>
            <wp:effectExtent l="0" t="0" r="0" b="0"/>
            <wp:docPr id="3" name="物件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256B6" w:rsidRDefault="002502B9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</w:tabs>
        <w:autoSpaceDE w:val="0"/>
        <w:autoSpaceDN w:val="0"/>
        <w:spacing w:line="560" w:lineRule="atLeast"/>
        <w:ind w:right="-76"/>
        <w:jc w:val="both"/>
        <w:rPr>
          <w:rFonts w:ascii="DFKai-SB" w:eastAsia="DFKai-SB" w:hint="eastAsia"/>
          <w:sz w:val="32"/>
        </w:rPr>
      </w:pPr>
      <w:r>
        <w:rPr>
          <w:rFonts w:ascii="DFKai-SB" w:eastAsia="DFKai-SB"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1842135</wp:posOffset>
                </wp:positionV>
                <wp:extent cx="2628900" cy="22860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256B6">
                            <w:pPr>
                              <w:rPr>
                                <w:rFonts w:eastAsia="DFKai-SB" w:hint="eastAsia"/>
                                <w:sz w:val="16"/>
                              </w:rPr>
                            </w:pPr>
                            <w:r>
                              <w:rPr>
                                <w:rFonts w:eastAsia="DFKai-SB" w:hint="eastAsia"/>
                                <w:sz w:val="16"/>
                              </w:rPr>
                              <w:t>水田休耕期間種植荳科綠肥作物可長期維持土壤肥力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43pt;margin-top:145.05pt;width:207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" o:allowincell="f" stroked="f">
                <v:textbox>
                  <w:txbxContent>
                    <w:p w:rsidR="00000000" w:rsidRDefault="002256B6">
                      <w:pPr>
                        <w:rPr>
                          <w:rFonts w:eastAsia="DFKai-SB" w:hint="eastAsia"/>
                          <w:sz w:val="16"/>
                        </w:rPr>
                      </w:pPr>
                      <w:r>
                        <w:rPr>
                          <w:rFonts w:eastAsia="DFKai-SB" w:hint="eastAsia"/>
                          <w:sz w:val="16"/>
                        </w:rPr>
                        <w:t>水田休耕期間種植荳科綠肥作物可長期維持土壤肥力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DFKai-SB" w:eastAsia="DFKai-SB"/>
          <w:noProof/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1842135</wp:posOffset>
                </wp:positionV>
                <wp:extent cx="2743200" cy="228600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256B6">
                            <w:pPr>
                              <w:rPr>
                                <w:rFonts w:eastAsia="DFKai-SB" w:hint="eastAsia"/>
                                <w:sz w:val="16"/>
                              </w:rPr>
                            </w:pPr>
                            <w:r>
                              <w:rPr>
                                <w:rFonts w:eastAsia="DFKai-SB" w:hint="eastAsia"/>
                                <w:sz w:val="16"/>
                              </w:rPr>
                              <w:t>休耕農田採取適宜的土壤管理方式可提高一期水稻產量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9pt;margin-top:145.05pt;width:3in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gwmgQIAABYFAAAOAAAAZHJzL2Uyb0RvYy54bWysVNmO2yAUfa/Uf0C8Z7zUWWzFGc3SVJWm&#10;izTTDyCAY1QMFEjsadV/7wUnmU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" o:allowincell="f" stroked="f">
                <v:textbox>
                  <w:txbxContent>
                    <w:p w:rsidR="00000000" w:rsidRDefault="002256B6">
                      <w:pPr>
                        <w:rPr>
                          <w:rFonts w:eastAsia="DFKai-SB" w:hint="eastAsia"/>
                          <w:sz w:val="16"/>
                        </w:rPr>
                      </w:pPr>
                      <w:r>
                        <w:rPr>
                          <w:rFonts w:eastAsia="DFKai-SB" w:hint="eastAsia"/>
                          <w:sz w:val="16"/>
                        </w:rPr>
                        <w:t>休耕農田採取適宜的土壤管理方式可提高一期水稻產量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256B6"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6B6" w:rsidRDefault="002256B6">
      <w:r>
        <w:separator/>
      </w:r>
    </w:p>
  </w:endnote>
  <w:endnote w:type="continuationSeparator" w:id="0">
    <w:p w:rsidR="002256B6" w:rsidRDefault="00225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256B6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000" w:rsidRDefault="002256B6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256B6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502B9">
      <w:rPr>
        <w:rStyle w:val="a5"/>
        <w:noProof/>
      </w:rPr>
      <w:t>1</w:t>
    </w:r>
    <w:r>
      <w:rPr>
        <w:rStyle w:val="a5"/>
      </w:rPr>
      <w:fldChar w:fldCharType="end"/>
    </w:r>
  </w:p>
  <w:p w:rsidR="00000000" w:rsidRDefault="002256B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6B6" w:rsidRDefault="002256B6">
      <w:r>
        <w:separator/>
      </w:r>
    </w:p>
  </w:footnote>
  <w:footnote w:type="continuationSeparator" w:id="0">
    <w:p w:rsidR="002256B6" w:rsidRDefault="002256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CA1A90"/>
    <w:multiLevelType w:val="hybridMultilevel"/>
    <w:tmpl w:val="B3680D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6AAB6313"/>
    <w:multiLevelType w:val="hybridMultilevel"/>
    <w:tmpl w:val="3E3264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2B9"/>
    <w:rsid w:val="002256B6"/>
    <w:rsid w:val="0025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</w:tabs>
      <w:autoSpaceDE w:val="0"/>
      <w:autoSpaceDN w:val="0"/>
      <w:ind w:right="-76" w:firstLine="480"/>
    </w:pPr>
    <w:rPr>
      <w:rFonts w:ascii="DFKai-SB" w:eastAsia="DFKai-SB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</w:tabs>
      <w:autoSpaceDE w:val="0"/>
      <w:autoSpaceDN w:val="0"/>
      <w:ind w:right="-76" w:firstLine="480"/>
    </w:pPr>
    <w:rPr>
      <w:rFonts w:ascii="DFKai-SB" w:eastAsia="DFKai-SB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___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algn="l">
              <a:defRPr sz="724" b="0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r>
              <a:t>圖 1.稻田二期休耕不同土壤管理方式對一期年平
     均產量之影響</a:t>
            </a:r>
          </a:p>
        </c:rich>
      </c:tx>
      <c:layout>
        <c:manualLayout>
          <c:xMode val="edge"/>
          <c:yMode val="edge"/>
          <c:x val="8.9743589743589758E-2"/>
          <c:y val="7.7220077220077231E-3"/>
        </c:manualLayout>
      </c:layout>
      <c:overlay val="0"/>
      <c:spPr>
        <a:noFill/>
        <a:ln w="2538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5064102564102566"/>
          <c:y val="0.22779922779922782"/>
          <c:w val="0.74358974358974372"/>
          <c:h val="0.613899613899614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放任雜草滋生(對照)</c:v>
                </c:pt>
              </c:strCache>
            </c:strRef>
          </c:tx>
          <c:spPr>
            <a:pattFill prst="pct50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80">
                <a:noFill/>
              </a:ln>
            </c:spPr>
            <c:txPr>
              <a:bodyPr/>
              <a:lstStyle/>
              <a:p>
                <a:pPr>
                  <a:defRPr sz="450" b="0" i="0" u="none" strike="noStrike" baseline="0">
                    <a:solidFill>
                      <a:srgbClr val="000000"/>
                    </a:solidFill>
                    <a:latin typeface="Arial Narrow"/>
                    <a:ea typeface="Arial Narrow"/>
                    <a:cs typeface="Arial Narrow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Sheet1!$A$2:$A$2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0.000</c:formatCode>
                <c:ptCount val="1"/>
                <c:pt idx="0">
                  <c:v>4.4176666666666664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種植盤固拉草</c:v>
                </c:pt>
              </c:strCache>
            </c:strRef>
          </c:tx>
          <c:spPr>
            <a:pattFill prst="lt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Mode val="edge"/>
                  <c:yMode val="edge"/>
                  <c:x val="0.33974358974358976"/>
                  <c:y val="0.2123552123552124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80">
                <a:noFill/>
              </a:ln>
            </c:spPr>
            <c:txPr>
              <a:bodyPr/>
              <a:lstStyle/>
              <a:p>
                <a:pPr>
                  <a:defRPr sz="450" b="0" i="0" u="none" strike="noStrike" baseline="0">
                    <a:solidFill>
                      <a:srgbClr val="000000"/>
                    </a:solidFill>
                    <a:latin typeface="Arial Narrow"/>
                    <a:ea typeface="Arial Narrow"/>
                    <a:cs typeface="Arial Narrow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Sheet1!$A$2:$A$2</c:f>
              <c:numCache>
                <c:formatCode>General</c:formatCode>
                <c:ptCount val="1"/>
              </c:numCache>
            </c:numRef>
          </c:cat>
          <c:val>
            <c:numRef>
              <c:f>Sheet1!$C$2:$C$2</c:f>
              <c:numCache>
                <c:formatCode>0.000</c:formatCode>
                <c:ptCount val="1"/>
                <c:pt idx="0">
                  <c:v>4.594333333333334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種植綠肥作物</c:v>
                </c:pt>
              </c:strCache>
            </c:strRef>
          </c:tx>
          <c:spPr>
            <a:pattFill prst="ltVer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80">
                <a:noFill/>
              </a:ln>
            </c:spPr>
            <c:txPr>
              <a:bodyPr/>
              <a:lstStyle/>
              <a:p>
                <a:pPr>
                  <a:defRPr sz="450" b="0" i="0" u="none" strike="noStrike" baseline="0">
                    <a:solidFill>
                      <a:srgbClr val="000000"/>
                    </a:solidFill>
                    <a:latin typeface="Arial Narrow"/>
                    <a:ea typeface="Arial Narrow"/>
                    <a:cs typeface="Arial Narrow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Sheet1!$A$2:$A$2</c:f>
              <c:numCache>
                <c:formatCode>General</c:formatCode>
                <c:ptCount val="1"/>
              </c:numCache>
            </c:numRef>
          </c:cat>
          <c:val>
            <c:numRef>
              <c:f>Sheet1!$D$2:$D$2</c:f>
              <c:numCache>
                <c:formatCode>0.000</c:formatCode>
                <c:ptCount val="1"/>
                <c:pt idx="0">
                  <c:v>4.5058333333333334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同對照休耕期間翻耕一次</c:v>
                </c:pt>
              </c:strCache>
            </c:strRef>
          </c:tx>
          <c:spPr>
            <a:pattFill prst="dash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80">
                <a:noFill/>
              </a:ln>
            </c:spPr>
            <c:txPr>
              <a:bodyPr/>
              <a:lstStyle/>
              <a:p>
                <a:pPr>
                  <a:defRPr sz="450" b="0" i="0" u="none" strike="noStrike" baseline="0">
                    <a:solidFill>
                      <a:srgbClr val="000000"/>
                    </a:solidFill>
                    <a:latin typeface="Arial Narrow"/>
                    <a:ea typeface="Arial Narrow"/>
                    <a:cs typeface="Arial Narrow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Sheet1!$A$2:$A$2</c:f>
              <c:numCache>
                <c:formatCode>General</c:formatCode>
                <c:ptCount val="1"/>
              </c:numCache>
            </c:numRef>
          </c:cat>
          <c:val>
            <c:numRef>
              <c:f>Sheet1!$E$2:$E$2</c:f>
              <c:numCache>
                <c:formatCode>0.000</c:formatCode>
                <c:ptCount val="1"/>
                <c:pt idx="0">
                  <c:v>4.4379999999999997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同對照休耕期間灌溉或自然蓄水</c:v>
                </c:pt>
              </c:strCache>
            </c:strRef>
          </c:tx>
          <c:spPr>
            <a:pattFill prst="zigZ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80">
                <a:noFill/>
              </a:ln>
            </c:spPr>
            <c:txPr>
              <a:bodyPr/>
              <a:lstStyle/>
              <a:p>
                <a:pPr>
                  <a:defRPr sz="450" b="0" i="0" u="none" strike="noStrike" baseline="0">
                    <a:solidFill>
                      <a:srgbClr val="000000"/>
                    </a:solidFill>
                    <a:latin typeface="Arial Narrow"/>
                    <a:ea typeface="Arial Narrow"/>
                    <a:cs typeface="Arial Narrow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Sheet1!$A$2:$A$2</c:f>
              <c:numCache>
                <c:formatCode>General</c:formatCode>
                <c:ptCount val="1"/>
              </c:numCache>
            </c:numRef>
          </c:cat>
          <c:val>
            <c:numRef>
              <c:f>Sheet1!$F$2:$F$2</c:f>
              <c:numCache>
                <c:formatCode>0.000</c:formatCode>
                <c:ptCount val="1"/>
                <c:pt idx="0">
                  <c:v>4.5123333333333333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全年休耕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solidFill>
                <a:srgbClr val="FFFFFF"/>
              </a:solidFill>
              <a:ln w="12690">
                <a:solidFill>
                  <a:srgbClr val="FFFFFF"/>
                </a:solidFill>
                <a:prstDash val="solid"/>
              </a:ln>
            </c:spPr>
            <c:txPr>
              <a:bodyPr/>
              <a:lstStyle/>
              <a:p>
                <a:pPr>
                  <a:defRPr sz="450" b="0" i="0" u="none" strike="noStrike" baseline="0">
                    <a:solidFill>
                      <a:srgbClr val="000000"/>
                    </a:solidFill>
                    <a:latin typeface="新細明體"/>
                    <a:ea typeface="新細明體"/>
                    <a:cs typeface="新細明體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Sheet1!$A$2:$A$2</c:f>
              <c:numCache>
                <c:formatCode>General</c:formatCode>
                <c:ptCount val="1"/>
              </c:numCache>
            </c:numRef>
          </c:cat>
          <c:val>
            <c:numRef>
              <c:f>Sheet1!$G$2:$G$2</c:f>
              <c:numCache>
                <c:formatCode>0.000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97442304"/>
        <c:axId val="253117568"/>
      </c:barChart>
      <c:catAx>
        <c:axId val="297442304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99" b="0" i="0" u="none" strike="noStrike" baseline="0">
                <a:solidFill>
                  <a:srgbClr val="000000"/>
                </a:solidFill>
                <a:latin typeface="新細明體"/>
                <a:ea typeface="新細明體"/>
                <a:cs typeface="新細明體"/>
              </a:defRPr>
            </a:pPr>
            <a:endParaRPr lang="en-US"/>
          </a:p>
        </c:txPr>
        <c:crossAx val="2531175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3117568"/>
        <c:scaling>
          <c:orientation val="minMax"/>
        </c:scaling>
        <c:delete val="0"/>
        <c:axPos val="l"/>
        <c:majorGridlines>
          <c:spPr>
            <a:ln w="3173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699" b="0" i="0" u="none" strike="noStrike" baseline="0">
                    <a:solidFill>
                      <a:srgbClr val="000000"/>
                    </a:solidFill>
                    <a:latin typeface="標楷體"/>
                    <a:ea typeface="標楷體"/>
                    <a:cs typeface="標楷體"/>
                  </a:defRPr>
                </a:pPr>
                <a:r>
                  <a:t>產量 (kg/ha)</a:t>
                </a:r>
              </a:p>
            </c:rich>
          </c:tx>
          <c:layout>
            <c:manualLayout>
              <c:xMode val="edge"/>
              <c:yMode val="edge"/>
              <c:x val="4.4871794871794879E-2"/>
              <c:y val="0.40540540540540543"/>
            </c:manualLayout>
          </c:layout>
          <c:overlay val="0"/>
          <c:spPr>
            <a:noFill/>
            <a:ln w="25380">
              <a:noFill/>
            </a:ln>
          </c:spPr>
        </c:title>
        <c:numFmt formatCode="0" sourceLinked="0"/>
        <c:majorTickMark val="cross"/>
        <c:minorTickMark val="none"/>
        <c:tickLblPos val="nextTo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Arial Narrow"/>
                <a:ea typeface="Arial Narrow"/>
                <a:cs typeface="Arial Narrow"/>
              </a:defRPr>
            </a:pPr>
            <a:endParaRPr lang="en-US"/>
          </a:p>
        </c:txPr>
        <c:crossAx val="297442304"/>
        <c:crosses val="autoZero"/>
        <c:crossBetween val="between"/>
        <c:majorUnit val="1"/>
      </c:valAx>
      <c:spPr>
        <a:noFill/>
        <a:ln w="1269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17628205128205132"/>
          <c:y val="0.86100386100386106"/>
          <c:w val="0.6891025641025641"/>
          <c:h val="0.12741312741312744"/>
        </c:manualLayout>
      </c:layout>
      <c:overlay val="0"/>
      <c:spPr>
        <a:solidFill>
          <a:srgbClr val="FFFFFF"/>
        </a:solidFill>
        <a:ln w="3173">
          <a:solidFill>
            <a:srgbClr val="000000"/>
          </a:solidFill>
          <a:prstDash val="solid"/>
        </a:ln>
      </c:spPr>
      <c:txPr>
        <a:bodyPr/>
        <a:lstStyle/>
        <a:p>
          <a:pPr>
            <a:defRPr sz="365" b="0" i="0" u="none" strike="noStrike" baseline="0">
              <a:solidFill>
                <a:srgbClr val="000000"/>
              </a:solidFill>
              <a:latin typeface="標楷體"/>
              <a:ea typeface="標楷體"/>
              <a:cs typeface="標楷體"/>
            </a:defRPr>
          </a:pPr>
          <a:endParaRPr lang="en-US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00" b="0" i="0" u="none" strike="noStrike" baseline="0">
          <a:solidFill>
            <a:srgbClr val="000000"/>
          </a:solidFill>
          <a:latin typeface="新細明體"/>
          <a:ea typeface="新細明體"/>
          <a:cs typeface="新細明體"/>
        </a:defRPr>
      </a:pPr>
      <a:endParaRPr lang="en-US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algn="l">
              <a:defRPr sz="774" b="0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r>
              <a:t>圖 2.稻田二期休耕不同土壤管理方式對土壤有機質含
     量之影響</a:t>
            </a:r>
          </a:p>
        </c:rich>
      </c:tx>
      <c:layout>
        <c:manualLayout>
          <c:xMode val="edge"/>
          <c:yMode val="edge"/>
          <c:x val="0.10089020771513353"/>
          <c:y val="3.9215686274509803E-3"/>
        </c:manualLayout>
      </c:layout>
      <c:overlay val="0"/>
      <c:spPr>
        <a:noFill/>
        <a:ln w="25367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394658753709199"/>
          <c:y val="0.20784313725490197"/>
          <c:w val="0.78041543026706228"/>
          <c:h val="0.6352941176470589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放任雜草滋生(對照)</c:v>
                </c:pt>
              </c:strCache>
            </c:strRef>
          </c:tx>
          <c:spPr>
            <a:ln w="25367">
              <a:solidFill>
                <a:srgbClr val="000000"/>
              </a:solidFill>
              <a:prstDash val="solid"/>
            </a:ln>
          </c:spPr>
          <c:marker>
            <c:symbol val="square"/>
            <c:size val="3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cat>
            <c:strRef>
              <c:f>Sheet1!$A$2:$A$10</c:f>
              <c:strCache>
                <c:ptCount val="9"/>
                <c:pt idx="0">
                  <c:v>84 1st</c:v>
                </c:pt>
                <c:pt idx="1">
                  <c:v>85 1st</c:v>
                </c:pt>
                <c:pt idx="2">
                  <c:v>86 1st</c:v>
                </c:pt>
                <c:pt idx="3">
                  <c:v>86 2nd</c:v>
                </c:pt>
                <c:pt idx="4">
                  <c:v>87 1st</c:v>
                </c:pt>
                <c:pt idx="5">
                  <c:v>87 2nd</c:v>
                </c:pt>
                <c:pt idx="6">
                  <c:v>88 1st</c:v>
                </c:pt>
                <c:pt idx="7">
                  <c:v>88 2nd</c:v>
                </c:pt>
                <c:pt idx="8">
                  <c:v>89 1st</c:v>
                </c:pt>
              </c:strCache>
            </c:strRef>
          </c:cat>
          <c:val>
            <c:numRef>
              <c:f>Sheet1!$B$2:$B$10</c:f>
              <c:numCache>
                <c:formatCode>General</c:formatCode>
                <c:ptCount val="9"/>
                <c:pt idx="0">
                  <c:v>2.4</c:v>
                </c:pt>
                <c:pt idx="1">
                  <c:v>2.2000000000000002</c:v>
                </c:pt>
                <c:pt idx="2">
                  <c:v>2.4</c:v>
                </c:pt>
                <c:pt idx="3">
                  <c:v>2.4</c:v>
                </c:pt>
                <c:pt idx="4">
                  <c:v>2.2999999999999998</c:v>
                </c:pt>
                <c:pt idx="5">
                  <c:v>2.4</c:v>
                </c:pt>
                <c:pt idx="6">
                  <c:v>2.2000000000000002</c:v>
                </c:pt>
                <c:pt idx="7">
                  <c:v>2.4</c:v>
                </c:pt>
                <c:pt idx="8">
                  <c:v>2.5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種植盤固拉草</c:v>
                </c:pt>
              </c:strCache>
            </c:strRef>
          </c:tx>
          <c:spPr>
            <a:ln w="25367">
              <a:solidFill>
                <a:srgbClr val="000000"/>
              </a:solidFill>
              <a:prstDash val="solid"/>
            </a:ln>
          </c:spPr>
          <c:marker>
            <c:symbol val="diamond"/>
            <c:size val="6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cat>
            <c:strRef>
              <c:f>Sheet1!$A$2:$A$10</c:f>
              <c:strCache>
                <c:ptCount val="9"/>
                <c:pt idx="0">
                  <c:v>84 1st</c:v>
                </c:pt>
                <c:pt idx="1">
                  <c:v>85 1st</c:v>
                </c:pt>
                <c:pt idx="2">
                  <c:v>86 1st</c:v>
                </c:pt>
                <c:pt idx="3">
                  <c:v>86 2nd</c:v>
                </c:pt>
                <c:pt idx="4">
                  <c:v>87 1st</c:v>
                </c:pt>
                <c:pt idx="5">
                  <c:v>87 2nd</c:v>
                </c:pt>
                <c:pt idx="6">
                  <c:v>88 1st</c:v>
                </c:pt>
                <c:pt idx="7">
                  <c:v>88 2nd</c:v>
                </c:pt>
                <c:pt idx="8">
                  <c:v>89 1st</c:v>
                </c:pt>
              </c:strCache>
            </c:strRef>
          </c:cat>
          <c:val>
            <c:numRef>
              <c:f>Sheet1!$C$2:$C$10</c:f>
              <c:numCache>
                <c:formatCode>General</c:formatCode>
                <c:ptCount val="9"/>
                <c:pt idx="0">
                  <c:v>2.7</c:v>
                </c:pt>
                <c:pt idx="1">
                  <c:v>2.5</c:v>
                </c:pt>
                <c:pt idx="2">
                  <c:v>2.7</c:v>
                </c:pt>
                <c:pt idx="3">
                  <c:v>2.8</c:v>
                </c:pt>
                <c:pt idx="4">
                  <c:v>2.5</c:v>
                </c:pt>
                <c:pt idx="5">
                  <c:v>2.6</c:v>
                </c:pt>
                <c:pt idx="6">
                  <c:v>2.8</c:v>
                </c:pt>
                <c:pt idx="7">
                  <c:v>2.7</c:v>
                </c:pt>
                <c:pt idx="8">
                  <c:v>2.8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種植綠肥作物</c:v>
                </c:pt>
              </c:strCache>
            </c:strRef>
          </c:tx>
          <c:spPr>
            <a:ln w="25367">
              <a:solidFill>
                <a:srgbClr val="000000"/>
              </a:solidFill>
              <a:prstDash val="solid"/>
            </a:ln>
          </c:spPr>
          <c:marker>
            <c:symbol val="triangle"/>
            <c:size val="6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cat>
            <c:strRef>
              <c:f>Sheet1!$A$2:$A$10</c:f>
              <c:strCache>
                <c:ptCount val="9"/>
                <c:pt idx="0">
                  <c:v>84 1st</c:v>
                </c:pt>
                <c:pt idx="1">
                  <c:v>85 1st</c:v>
                </c:pt>
                <c:pt idx="2">
                  <c:v>86 1st</c:v>
                </c:pt>
                <c:pt idx="3">
                  <c:v>86 2nd</c:v>
                </c:pt>
                <c:pt idx="4">
                  <c:v>87 1st</c:v>
                </c:pt>
                <c:pt idx="5">
                  <c:v>87 2nd</c:v>
                </c:pt>
                <c:pt idx="6">
                  <c:v>88 1st</c:v>
                </c:pt>
                <c:pt idx="7">
                  <c:v>88 2nd</c:v>
                </c:pt>
                <c:pt idx="8">
                  <c:v>89 1st</c:v>
                </c:pt>
              </c:strCache>
            </c:strRef>
          </c:cat>
          <c:val>
            <c:numRef>
              <c:f>Sheet1!$D$2:$D$10</c:f>
              <c:numCache>
                <c:formatCode>General</c:formatCode>
                <c:ptCount val="9"/>
                <c:pt idx="0">
                  <c:v>2.5</c:v>
                </c:pt>
                <c:pt idx="1">
                  <c:v>2.4</c:v>
                </c:pt>
                <c:pt idx="2">
                  <c:v>2.7</c:v>
                </c:pt>
                <c:pt idx="3">
                  <c:v>2.8</c:v>
                </c:pt>
                <c:pt idx="4">
                  <c:v>2.6</c:v>
                </c:pt>
                <c:pt idx="5">
                  <c:v>2.7</c:v>
                </c:pt>
                <c:pt idx="6">
                  <c:v>2.8</c:v>
                </c:pt>
                <c:pt idx="7">
                  <c:v>2.8</c:v>
                </c:pt>
                <c:pt idx="8">
                  <c:v>2.9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同對照休耕期間翻耕一次</c:v>
                </c:pt>
              </c:strCache>
            </c:strRef>
          </c:tx>
          <c:spPr>
            <a:ln w="25367">
              <a:solidFill>
                <a:srgbClr val="000000"/>
              </a:solidFill>
              <a:prstDash val="solid"/>
            </a:ln>
          </c:spPr>
          <c:marker>
            <c:symbol val="x"/>
            <c:size val="6"/>
            <c:spPr>
              <a:noFill/>
              <a:ln>
                <a:solidFill>
                  <a:srgbClr val="000000"/>
                </a:solidFill>
                <a:prstDash val="solid"/>
              </a:ln>
            </c:spPr>
          </c:marker>
          <c:cat>
            <c:strRef>
              <c:f>Sheet1!$A$2:$A$10</c:f>
              <c:strCache>
                <c:ptCount val="9"/>
                <c:pt idx="0">
                  <c:v>84 1st</c:v>
                </c:pt>
                <c:pt idx="1">
                  <c:v>85 1st</c:v>
                </c:pt>
                <c:pt idx="2">
                  <c:v>86 1st</c:v>
                </c:pt>
                <c:pt idx="3">
                  <c:v>86 2nd</c:v>
                </c:pt>
                <c:pt idx="4">
                  <c:v>87 1st</c:v>
                </c:pt>
                <c:pt idx="5">
                  <c:v>87 2nd</c:v>
                </c:pt>
                <c:pt idx="6">
                  <c:v>88 1st</c:v>
                </c:pt>
                <c:pt idx="7">
                  <c:v>88 2nd</c:v>
                </c:pt>
                <c:pt idx="8">
                  <c:v>89 1st</c:v>
                </c:pt>
              </c:strCache>
            </c:strRef>
          </c:cat>
          <c:val>
            <c:numRef>
              <c:f>Sheet1!$E$2:$E$10</c:f>
              <c:numCache>
                <c:formatCode>General</c:formatCode>
                <c:ptCount val="9"/>
                <c:pt idx="0">
                  <c:v>2.4</c:v>
                </c:pt>
                <c:pt idx="1">
                  <c:v>2.2999999999999998</c:v>
                </c:pt>
                <c:pt idx="2">
                  <c:v>2.2999999999999998</c:v>
                </c:pt>
                <c:pt idx="3">
                  <c:v>2.5</c:v>
                </c:pt>
                <c:pt idx="4">
                  <c:v>2.4</c:v>
                </c:pt>
                <c:pt idx="5">
                  <c:v>2.5</c:v>
                </c:pt>
                <c:pt idx="6">
                  <c:v>2.2999999999999998</c:v>
                </c:pt>
                <c:pt idx="7">
                  <c:v>2.4</c:v>
                </c:pt>
                <c:pt idx="8">
                  <c:v>2.5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同對照休耕期間灌溉或自然蓄水</c:v>
                </c:pt>
              </c:strCache>
            </c:strRef>
          </c:tx>
          <c:spPr>
            <a:ln w="25367">
              <a:solidFill>
                <a:srgbClr val="000000"/>
              </a:solidFill>
              <a:prstDash val="solid"/>
            </a:ln>
          </c:spPr>
          <c:marker>
            <c:symbol val="star"/>
            <c:size val="6"/>
            <c:spPr>
              <a:noFill/>
              <a:ln>
                <a:solidFill>
                  <a:srgbClr val="000000"/>
                </a:solidFill>
                <a:prstDash val="solid"/>
              </a:ln>
            </c:spPr>
          </c:marker>
          <c:cat>
            <c:strRef>
              <c:f>Sheet1!$A$2:$A$10</c:f>
              <c:strCache>
                <c:ptCount val="9"/>
                <c:pt idx="0">
                  <c:v>84 1st</c:v>
                </c:pt>
                <c:pt idx="1">
                  <c:v>85 1st</c:v>
                </c:pt>
                <c:pt idx="2">
                  <c:v>86 1st</c:v>
                </c:pt>
                <c:pt idx="3">
                  <c:v>86 2nd</c:v>
                </c:pt>
                <c:pt idx="4">
                  <c:v>87 1st</c:v>
                </c:pt>
                <c:pt idx="5">
                  <c:v>87 2nd</c:v>
                </c:pt>
                <c:pt idx="6">
                  <c:v>88 1st</c:v>
                </c:pt>
                <c:pt idx="7">
                  <c:v>88 2nd</c:v>
                </c:pt>
                <c:pt idx="8">
                  <c:v>89 1st</c:v>
                </c:pt>
              </c:strCache>
            </c:strRef>
          </c:cat>
          <c:val>
            <c:numRef>
              <c:f>Sheet1!$F$2:$F$10</c:f>
              <c:numCache>
                <c:formatCode>General</c:formatCode>
                <c:ptCount val="9"/>
                <c:pt idx="0">
                  <c:v>2.5</c:v>
                </c:pt>
                <c:pt idx="1">
                  <c:v>2.2999999999999998</c:v>
                </c:pt>
                <c:pt idx="2">
                  <c:v>2.5</c:v>
                </c:pt>
                <c:pt idx="3">
                  <c:v>2.6</c:v>
                </c:pt>
                <c:pt idx="4">
                  <c:v>2.5</c:v>
                </c:pt>
                <c:pt idx="5">
                  <c:v>2.5</c:v>
                </c:pt>
                <c:pt idx="6">
                  <c:v>2.4</c:v>
                </c:pt>
                <c:pt idx="7">
                  <c:v>2.5</c:v>
                </c:pt>
                <c:pt idx="8">
                  <c:v>2.5</c:v>
                </c:pt>
              </c:numCache>
            </c:numRef>
          </c:val>
          <c:smooth val="0"/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全年休耕</c:v>
                </c:pt>
              </c:strCache>
            </c:strRef>
          </c:tx>
          <c:spPr>
            <a:ln w="25367">
              <a:solidFill>
                <a:srgbClr val="000000"/>
              </a:solidFill>
              <a:prstDash val="solid"/>
            </a:ln>
          </c:spPr>
          <c:marker>
            <c:symbol val="circle"/>
            <c:size val="6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cat>
            <c:strRef>
              <c:f>Sheet1!$A$2:$A$10</c:f>
              <c:strCache>
                <c:ptCount val="9"/>
                <c:pt idx="0">
                  <c:v>84 1st</c:v>
                </c:pt>
                <c:pt idx="1">
                  <c:v>85 1st</c:v>
                </c:pt>
                <c:pt idx="2">
                  <c:v>86 1st</c:v>
                </c:pt>
                <c:pt idx="3">
                  <c:v>86 2nd</c:v>
                </c:pt>
                <c:pt idx="4">
                  <c:v>87 1st</c:v>
                </c:pt>
                <c:pt idx="5">
                  <c:v>87 2nd</c:v>
                </c:pt>
                <c:pt idx="6">
                  <c:v>88 1st</c:v>
                </c:pt>
                <c:pt idx="7">
                  <c:v>88 2nd</c:v>
                </c:pt>
                <c:pt idx="8">
                  <c:v>89 1st</c:v>
                </c:pt>
              </c:strCache>
            </c:strRef>
          </c:cat>
          <c:val>
            <c:numRef>
              <c:f>Sheet1!$G$2:$G$10</c:f>
              <c:numCache>
                <c:formatCode>General</c:formatCode>
                <c:ptCount val="9"/>
                <c:pt idx="0">
                  <c:v>2.5</c:v>
                </c:pt>
                <c:pt idx="1">
                  <c:v>2.2999999999999998</c:v>
                </c:pt>
                <c:pt idx="2">
                  <c:v>2.4</c:v>
                </c:pt>
                <c:pt idx="3">
                  <c:v>3</c:v>
                </c:pt>
                <c:pt idx="4">
                  <c:v>2.7</c:v>
                </c:pt>
                <c:pt idx="5">
                  <c:v>3.2</c:v>
                </c:pt>
                <c:pt idx="6">
                  <c:v>2.8</c:v>
                </c:pt>
                <c:pt idx="7">
                  <c:v>2.8</c:v>
                </c:pt>
                <c:pt idx="8">
                  <c:v>2.8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97424384"/>
        <c:axId val="253119296"/>
      </c:lineChart>
      <c:catAx>
        <c:axId val="29742438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649" b="0" i="0" u="none" strike="noStrike" baseline="0">
                    <a:solidFill>
                      <a:srgbClr val="000000"/>
                    </a:solidFill>
                    <a:latin typeface="標楷體"/>
                    <a:ea typeface="標楷體"/>
                    <a:cs typeface="標楷體"/>
                  </a:defRPr>
                </a:pPr>
                <a:r>
                  <a:t>期作別</a:t>
                </a:r>
              </a:p>
            </c:rich>
          </c:tx>
          <c:layout>
            <c:manualLayout>
              <c:xMode val="edge"/>
              <c:yMode val="edge"/>
              <c:x val="0.47477744807121663"/>
              <c:y val="0.93333333333333335"/>
            </c:manualLayout>
          </c:layout>
          <c:overlay val="0"/>
          <c:spPr>
            <a:noFill/>
            <a:ln w="25367">
              <a:noFill/>
            </a:ln>
          </c:spPr>
        </c:title>
        <c:numFmt formatCode="General" sourceLinked="1"/>
        <c:majorTickMark val="cross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99" b="0" i="0" u="none" strike="noStrike" baseline="0">
                <a:solidFill>
                  <a:srgbClr val="000000"/>
                </a:solidFill>
                <a:latin typeface="Arial Narrow"/>
                <a:ea typeface="Arial Narrow"/>
                <a:cs typeface="Arial Narrow"/>
              </a:defRPr>
            </a:pPr>
            <a:endParaRPr lang="en-US"/>
          </a:p>
        </c:txPr>
        <c:crossAx val="2531192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3119296"/>
        <c:scaling>
          <c:orientation val="minMax"/>
          <c:max val="4"/>
          <c:min val="2"/>
        </c:scaling>
        <c:delete val="0"/>
        <c:axPos val="l"/>
        <c:majorGridlines>
          <c:spPr>
            <a:ln w="3171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649" b="0" i="0" u="none" strike="noStrike" baseline="0">
                    <a:solidFill>
                      <a:srgbClr val="000000"/>
                    </a:solidFill>
                    <a:latin typeface="標楷體"/>
                    <a:ea typeface="標楷體"/>
                    <a:cs typeface="標楷體"/>
                  </a:defRPr>
                </a:pPr>
                <a:r>
                  <a:t>有機質 (%)</a:t>
                </a:r>
              </a:p>
            </c:rich>
          </c:tx>
          <c:layout>
            <c:manualLayout>
              <c:xMode val="edge"/>
              <c:yMode val="edge"/>
              <c:x val="3.5608308605341248E-2"/>
              <c:y val="0.40392156862745104"/>
            </c:manualLayout>
          </c:layout>
          <c:overlay val="0"/>
          <c:spPr>
            <a:noFill/>
            <a:ln w="25367">
              <a:noFill/>
            </a:ln>
          </c:spPr>
        </c:title>
        <c:numFmt formatCode="General" sourceLinked="1"/>
        <c:majorTickMark val="cross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99" b="0" i="0" u="none" strike="noStrike" baseline="0">
                <a:solidFill>
                  <a:srgbClr val="000000"/>
                </a:solidFill>
                <a:latin typeface="新細明體"/>
                <a:ea typeface="新細明體"/>
                <a:cs typeface="新細明體"/>
              </a:defRPr>
            </a:pPr>
            <a:endParaRPr lang="en-US"/>
          </a:p>
        </c:txPr>
        <c:crossAx val="297424384"/>
        <c:crosses val="autoZero"/>
        <c:crossBetween val="between"/>
        <c:majorUnit val="0.5"/>
      </c:valAx>
      <c:spPr>
        <a:solidFill>
          <a:srgbClr val="FFFFFF"/>
        </a:solidFill>
        <a:ln w="12684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35905044510385759"/>
          <c:y val="0.22745098039215689"/>
          <c:w val="0.40059347181008909"/>
          <c:h val="0.21176470588235294"/>
        </c:manualLayout>
      </c:layout>
      <c:overlay val="0"/>
      <c:spPr>
        <a:solidFill>
          <a:srgbClr val="FFFFFF"/>
        </a:solidFill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365" b="0" i="0" u="none" strike="noStrike" baseline="0">
              <a:solidFill>
                <a:srgbClr val="000000"/>
              </a:solidFill>
              <a:latin typeface="標楷體"/>
              <a:ea typeface="標楷體"/>
              <a:cs typeface="標楷體"/>
            </a:defRPr>
          </a:pPr>
          <a:endParaRPr lang="en-US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49" b="0" i="0" u="none" strike="noStrike" baseline="0">
          <a:solidFill>
            <a:srgbClr val="000000"/>
          </a:solidFill>
          <a:latin typeface="新細明體"/>
          <a:ea typeface="新細明體"/>
          <a:cs typeface="新細明體"/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algn="l">
              <a:defRPr sz="699" b="0" i="0" u="none" strike="noStrike" baseline="0">
                <a:solidFill>
                  <a:srgbClr val="000000"/>
                </a:solidFill>
                <a:latin typeface="標楷體"/>
                <a:ea typeface="標楷體"/>
                <a:cs typeface="標楷體"/>
              </a:defRPr>
            </a:pPr>
            <a:r>
              <a:t>圖 3.稻田二期休耕不同土壤管理方式對土壤有效
     性鉀含量之影響</a:t>
            </a:r>
          </a:p>
        </c:rich>
      </c:tx>
      <c:layout>
        <c:manualLayout>
          <c:xMode val="edge"/>
          <c:yMode val="edge"/>
          <c:x val="0.14426229508196722"/>
          <c:y val="5.9259259259259248E-2"/>
        </c:manualLayout>
      </c:layout>
      <c:overlay val="0"/>
      <c:spPr>
        <a:noFill/>
        <a:ln w="25381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3770491803278689"/>
          <c:y val="0.21481481481481479"/>
          <c:w val="0.80327868852459017"/>
          <c:h val="0.6407407407407407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放任雜草滋生(對照)</c:v>
                </c:pt>
              </c:strCache>
            </c:strRef>
          </c:tx>
          <c:spPr>
            <a:ln w="25381">
              <a:solidFill>
                <a:srgbClr val="000000"/>
              </a:solidFill>
              <a:prstDash val="solid"/>
            </a:ln>
          </c:spPr>
          <c:marker>
            <c:symbol val="square"/>
            <c:size val="6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cat>
            <c:strRef>
              <c:f>Sheet1!$A$2:$A$10</c:f>
              <c:strCache>
                <c:ptCount val="9"/>
                <c:pt idx="0">
                  <c:v>84 1st</c:v>
                </c:pt>
                <c:pt idx="1">
                  <c:v>85 1st</c:v>
                </c:pt>
                <c:pt idx="2">
                  <c:v>86 1st</c:v>
                </c:pt>
                <c:pt idx="3">
                  <c:v>86 2nd</c:v>
                </c:pt>
                <c:pt idx="4">
                  <c:v>87 1st</c:v>
                </c:pt>
                <c:pt idx="5">
                  <c:v>87 2nd</c:v>
                </c:pt>
                <c:pt idx="6">
                  <c:v>88 1st</c:v>
                </c:pt>
                <c:pt idx="7">
                  <c:v>88 2nd</c:v>
                </c:pt>
                <c:pt idx="8">
                  <c:v>89 1st</c:v>
                </c:pt>
              </c:strCache>
            </c:strRef>
          </c:cat>
          <c:val>
            <c:numRef>
              <c:f>Sheet1!$B$2:$B$10</c:f>
              <c:numCache>
                <c:formatCode>General</c:formatCode>
                <c:ptCount val="9"/>
                <c:pt idx="0">
                  <c:v>97</c:v>
                </c:pt>
                <c:pt idx="1">
                  <c:v>80</c:v>
                </c:pt>
                <c:pt idx="2">
                  <c:v>75</c:v>
                </c:pt>
                <c:pt idx="3">
                  <c:v>96</c:v>
                </c:pt>
                <c:pt idx="4">
                  <c:v>88</c:v>
                </c:pt>
                <c:pt idx="5">
                  <c:v>81</c:v>
                </c:pt>
                <c:pt idx="6">
                  <c:v>88</c:v>
                </c:pt>
                <c:pt idx="7">
                  <c:v>93</c:v>
                </c:pt>
                <c:pt idx="8">
                  <c:v>79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種植盤固拉草</c:v>
                </c:pt>
              </c:strCache>
            </c:strRef>
          </c:tx>
          <c:spPr>
            <a:ln w="25381">
              <a:solidFill>
                <a:srgbClr val="000000"/>
              </a:solidFill>
              <a:prstDash val="solid"/>
            </a:ln>
          </c:spPr>
          <c:marker>
            <c:symbol val="diamond"/>
            <c:size val="6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cat>
            <c:strRef>
              <c:f>Sheet1!$A$2:$A$10</c:f>
              <c:strCache>
                <c:ptCount val="9"/>
                <c:pt idx="0">
                  <c:v>84 1st</c:v>
                </c:pt>
                <c:pt idx="1">
                  <c:v>85 1st</c:v>
                </c:pt>
                <c:pt idx="2">
                  <c:v>86 1st</c:v>
                </c:pt>
                <c:pt idx="3">
                  <c:v>86 2nd</c:v>
                </c:pt>
                <c:pt idx="4">
                  <c:v>87 1st</c:v>
                </c:pt>
                <c:pt idx="5">
                  <c:v>87 2nd</c:v>
                </c:pt>
                <c:pt idx="6">
                  <c:v>88 1st</c:v>
                </c:pt>
                <c:pt idx="7">
                  <c:v>88 2nd</c:v>
                </c:pt>
                <c:pt idx="8">
                  <c:v>89 1st</c:v>
                </c:pt>
              </c:strCache>
            </c:strRef>
          </c:cat>
          <c:val>
            <c:numRef>
              <c:f>Sheet1!$C$2:$C$10</c:f>
              <c:numCache>
                <c:formatCode>General</c:formatCode>
                <c:ptCount val="9"/>
                <c:pt idx="0">
                  <c:v>100</c:v>
                </c:pt>
                <c:pt idx="1">
                  <c:v>81</c:v>
                </c:pt>
                <c:pt idx="2">
                  <c:v>93</c:v>
                </c:pt>
                <c:pt idx="3">
                  <c:v>88</c:v>
                </c:pt>
                <c:pt idx="4">
                  <c:v>85</c:v>
                </c:pt>
                <c:pt idx="5">
                  <c:v>78</c:v>
                </c:pt>
                <c:pt idx="6">
                  <c:v>86</c:v>
                </c:pt>
                <c:pt idx="7">
                  <c:v>86</c:v>
                </c:pt>
                <c:pt idx="8">
                  <c:v>73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種植綠肥作物</c:v>
                </c:pt>
              </c:strCache>
            </c:strRef>
          </c:tx>
          <c:spPr>
            <a:ln w="25381">
              <a:solidFill>
                <a:srgbClr val="000000"/>
              </a:solidFill>
              <a:prstDash val="solid"/>
            </a:ln>
          </c:spPr>
          <c:marker>
            <c:symbol val="triangle"/>
            <c:size val="6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cat>
            <c:strRef>
              <c:f>Sheet1!$A$2:$A$10</c:f>
              <c:strCache>
                <c:ptCount val="9"/>
                <c:pt idx="0">
                  <c:v>84 1st</c:v>
                </c:pt>
                <c:pt idx="1">
                  <c:v>85 1st</c:v>
                </c:pt>
                <c:pt idx="2">
                  <c:v>86 1st</c:v>
                </c:pt>
                <c:pt idx="3">
                  <c:v>86 2nd</c:v>
                </c:pt>
                <c:pt idx="4">
                  <c:v>87 1st</c:v>
                </c:pt>
                <c:pt idx="5">
                  <c:v>87 2nd</c:v>
                </c:pt>
                <c:pt idx="6">
                  <c:v>88 1st</c:v>
                </c:pt>
                <c:pt idx="7">
                  <c:v>88 2nd</c:v>
                </c:pt>
                <c:pt idx="8">
                  <c:v>89 1st</c:v>
                </c:pt>
              </c:strCache>
            </c:strRef>
          </c:cat>
          <c:val>
            <c:numRef>
              <c:f>Sheet1!$D$2:$D$10</c:f>
              <c:numCache>
                <c:formatCode>General</c:formatCode>
                <c:ptCount val="9"/>
                <c:pt idx="0">
                  <c:v>102</c:v>
                </c:pt>
                <c:pt idx="1">
                  <c:v>80</c:v>
                </c:pt>
                <c:pt idx="2">
                  <c:v>89</c:v>
                </c:pt>
                <c:pt idx="3">
                  <c:v>98</c:v>
                </c:pt>
                <c:pt idx="4">
                  <c:v>86</c:v>
                </c:pt>
                <c:pt idx="5">
                  <c:v>77</c:v>
                </c:pt>
                <c:pt idx="6">
                  <c:v>81</c:v>
                </c:pt>
                <c:pt idx="7">
                  <c:v>92</c:v>
                </c:pt>
                <c:pt idx="8">
                  <c:v>71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同對照休耕期間翻耕一次</c:v>
                </c:pt>
              </c:strCache>
            </c:strRef>
          </c:tx>
          <c:spPr>
            <a:ln w="25381">
              <a:solidFill>
                <a:srgbClr val="000000"/>
              </a:solidFill>
              <a:prstDash val="solid"/>
            </a:ln>
          </c:spPr>
          <c:marker>
            <c:symbol val="x"/>
            <c:size val="6"/>
            <c:spPr>
              <a:noFill/>
              <a:ln>
                <a:solidFill>
                  <a:srgbClr val="000000"/>
                </a:solidFill>
                <a:prstDash val="solid"/>
              </a:ln>
            </c:spPr>
          </c:marker>
          <c:cat>
            <c:strRef>
              <c:f>Sheet1!$A$2:$A$10</c:f>
              <c:strCache>
                <c:ptCount val="9"/>
                <c:pt idx="0">
                  <c:v>84 1st</c:v>
                </c:pt>
                <c:pt idx="1">
                  <c:v>85 1st</c:v>
                </c:pt>
                <c:pt idx="2">
                  <c:v>86 1st</c:v>
                </c:pt>
                <c:pt idx="3">
                  <c:v>86 2nd</c:v>
                </c:pt>
                <c:pt idx="4">
                  <c:v>87 1st</c:v>
                </c:pt>
                <c:pt idx="5">
                  <c:v>87 2nd</c:v>
                </c:pt>
                <c:pt idx="6">
                  <c:v>88 1st</c:v>
                </c:pt>
                <c:pt idx="7">
                  <c:v>88 2nd</c:v>
                </c:pt>
                <c:pt idx="8">
                  <c:v>89 1st</c:v>
                </c:pt>
              </c:strCache>
            </c:strRef>
          </c:cat>
          <c:val>
            <c:numRef>
              <c:f>Sheet1!$E$2:$E$10</c:f>
              <c:numCache>
                <c:formatCode>General</c:formatCode>
                <c:ptCount val="9"/>
                <c:pt idx="0">
                  <c:v>94</c:v>
                </c:pt>
                <c:pt idx="1">
                  <c:v>78</c:v>
                </c:pt>
                <c:pt idx="2">
                  <c:v>86</c:v>
                </c:pt>
                <c:pt idx="3">
                  <c:v>91</c:v>
                </c:pt>
                <c:pt idx="4">
                  <c:v>89</c:v>
                </c:pt>
                <c:pt idx="5">
                  <c:v>89</c:v>
                </c:pt>
                <c:pt idx="6">
                  <c:v>85</c:v>
                </c:pt>
                <c:pt idx="7">
                  <c:v>94</c:v>
                </c:pt>
                <c:pt idx="8">
                  <c:v>80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同對照休耕期間灌溉或自然蓄水</c:v>
                </c:pt>
              </c:strCache>
            </c:strRef>
          </c:tx>
          <c:spPr>
            <a:ln w="25381">
              <a:solidFill>
                <a:srgbClr val="000000"/>
              </a:solidFill>
              <a:prstDash val="solid"/>
            </a:ln>
          </c:spPr>
          <c:marker>
            <c:symbol val="star"/>
            <c:size val="6"/>
            <c:spPr>
              <a:noFill/>
              <a:ln>
                <a:solidFill>
                  <a:srgbClr val="000000"/>
                </a:solidFill>
                <a:prstDash val="solid"/>
              </a:ln>
            </c:spPr>
          </c:marker>
          <c:cat>
            <c:strRef>
              <c:f>Sheet1!$A$2:$A$10</c:f>
              <c:strCache>
                <c:ptCount val="9"/>
                <c:pt idx="0">
                  <c:v>84 1st</c:v>
                </c:pt>
                <c:pt idx="1">
                  <c:v>85 1st</c:v>
                </c:pt>
                <c:pt idx="2">
                  <c:v>86 1st</c:v>
                </c:pt>
                <c:pt idx="3">
                  <c:v>86 2nd</c:v>
                </c:pt>
                <c:pt idx="4">
                  <c:v>87 1st</c:v>
                </c:pt>
                <c:pt idx="5">
                  <c:v>87 2nd</c:v>
                </c:pt>
                <c:pt idx="6">
                  <c:v>88 1st</c:v>
                </c:pt>
                <c:pt idx="7">
                  <c:v>88 2nd</c:v>
                </c:pt>
                <c:pt idx="8">
                  <c:v>89 1st</c:v>
                </c:pt>
              </c:strCache>
            </c:strRef>
          </c:cat>
          <c:val>
            <c:numRef>
              <c:f>Sheet1!$F$2:$F$10</c:f>
              <c:numCache>
                <c:formatCode>General</c:formatCode>
                <c:ptCount val="9"/>
                <c:pt idx="0">
                  <c:v>88</c:v>
                </c:pt>
                <c:pt idx="1">
                  <c:v>79</c:v>
                </c:pt>
                <c:pt idx="2">
                  <c:v>72</c:v>
                </c:pt>
                <c:pt idx="3">
                  <c:v>92</c:v>
                </c:pt>
                <c:pt idx="4">
                  <c:v>90</c:v>
                </c:pt>
                <c:pt idx="5">
                  <c:v>80</c:v>
                </c:pt>
                <c:pt idx="6">
                  <c:v>82</c:v>
                </c:pt>
                <c:pt idx="7">
                  <c:v>91</c:v>
                </c:pt>
                <c:pt idx="8">
                  <c:v>77</c:v>
                </c:pt>
              </c:numCache>
            </c:numRef>
          </c:val>
          <c:smooth val="0"/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全年休耕</c:v>
                </c:pt>
              </c:strCache>
            </c:strRef>
          </c:tx>
          <c:spPr>
            <a:ln w="25381">
              <a:solidFill>
                <a:srgbClr val="000000"/>
              </a:solidFill>
              <a:prstDash val="solid"/>
            </a:ln>
          </c:spPr>
          <c:marker>
            <c:symbol val="circle"/>
            <c:size val="6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cat>
            <c:strRef>
              <c:f>Sheet1!$A$2:$A$10</c:f>
              <c:strCache>
                <c:ptCount val="9"/>
                <c:pt idx="0">
                  <c:v>84 1st</c:v>
                </c:pt>
                <c:pt idx="1">
                  <c:v>85 1st</c:v>
                </c:pt>
                <c:pt idx="2">
                  <c:v>86 1st</c:v>
                </c:pt>
                <c:pt idx="3">
                  <c:v>86 2nd</c:v>
                </c:pt>
                <c:pt idx="4">
                  <c:v>87 1st</c:v>
                </c:pt>
                <c:pt idx="5">
                  <c:v>87 2nd</c:v>
                </c:pt>
                <c:pt idx="6">
                  <c:v>88 1st</c:v>
                </c:pt>
                <c:pt idx="7">
                  <c:v>88 2nd</c:v>
                </c:pt>
                <c:pt idx="8">
                  <c:v>89 1st</c:v>
                </c:pt>
              </c:strCache>
            </c:strRef>
          </c:cat>
          <c:val>
            <c:numRef>
              <c:f>Sheet1!$G$2:$G$10</c:f>
              <c:numCache>
                <c:formatCode>General</c:formatCode>
                <c:ptCount val="9"/>
                <c:pt idx="0">
                  <c:v>99</c:v>
                </c:pt>
                <c:pt idx="1">
                  <c:v>66</c:v>
                </c:pt>
                <c:pt idx="2">
                  <c:v>70</c:v>
                </c:pt>
                <c:pt idx="3">
                  <c:v>80</c:v>
                </c:pt>
                <c:pt idx="4">
                  <c:v>68</c:v>
                </c:pt>
                <c:pt idx="5">
                  <c:v>72</c:v>
                </c:pt>
                <c:pt idx="6">
                  <c:v>70</c:v>
                </c:pt>
                <c:pt idx="7">
                  <c:v>75</c:v>
                </c:pt>
                <c:pt idx="8">
                  <c:v>53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97406464"/>
        <c:axId val="253121024"/>
      </c:lineChart>
      <c:catAx>
        <c:axId val="29740646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600" b="0" i="0" u="none" strike="noStrike" baseline="0">
                    <a:solidFill>
                      <a:srgbClr val="000000"/>
                    </a:solidFill>
                    <a:latin typeface="標楷體"/>
                    <a:ea typeface="標楷體"/>
                    <a:cs typeface="標楷體"/>
                  </a:defRPr>
                </a:pPr>
                <a:r>
                  <a:t>期作別</a:t>
                </a:r>
              </a:p>
            </c:rich>
          </c:tx>
          <c:layout>
            <c:manualLayout>
              <c:xMode val="edge"/>
              <c:yMode val="edge"/>
              <c:x val="0.47868852459016392"/>
              <c:y val="0.94074074074074066"/>
            </c:manualLayout>
          </c:layout>
          <c:overlay val="0"/>
          <c:spPr>
            <a:noFill/>
            <a:ln w="25381">
              <a:noFill/>
            </a:ln>
          </c:spPr>
        </c:title>
        <c:numFmt formatCode="General" sourceLinked="1"/>
        <c:majorTickMark val="cross"/>
        <c:minorTickMark val="none"/>
        <c:tickLblPos val="nextTo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Arial Narrow"/>
                <a:ea typeface="Arial Narrow"/>
                <a:cs typeface="Arial Narrow"/>
              </a:defRPr>
            </a:pPr>
            <a:endParaRPr lang="en-US"/>
          </a:p>
        </c:txPr>
        <c:crossAx val="2531210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3121024"/>
        <c:scaling>
          <c:orientation val="minMax"/>
        </c:scaling>
        <c:delete val="0"/>
        <c:axPos val="l"/>
        <c:majorGridlines>
          <c:spPr>
            <a:ln w="3173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600" b="0" i="0" u="none" strike="noStrike" baseline="0">
                    <a:solidFill>
                      <a:srgbClr val="000000"/>
                    </a:solidFill>
                    <a:latin typeface="標楷體"/>
                    <a:ea typeface="標楷體"/>
                    <a:cs typeface="標楷體"/>
                  </a:defRPr>
                </a:pPr>
                <a:r>
                  <a:rPr lang="zh-TW" altLang="en-US" sz="899" b="0" i="0" u="none" strike="noStrike" baseline="0">
                    <a:solidFill>
                      <a:srgbClr val="000000"/>
                    </a:solidFill>
                    <a:latin typeface="新細明體"/>
                    <a:ea typeface="新細明體"/>
                  </a:rPr>
                  <a:t>有效性鉀 </a:t>
                </a:r>
                <a:r>
                  <a:rPr lang="en-US" altLang="zh-TW" sz="1124" b="0" i="0" u="none" strike="noStrike" baseline="0">
                    <a:solidFill>
                      <a:srgbClr val="000000"/>
                    </a:solidFill>
                    <a:latin typeface="新細明體"/>
                    <a:ea typeface="新細明體"/>
                  </a:rPr>
                  <a:t>( </a:t>
                </a:r>
                <a:r>
                  <a:rPr lang="en-US" sz="1124" b="0" i="0" u="none" strike="noStrike" baseline="0">
                    <a:solidFill>
                      <a:srgbClr val="000000"/>
                    </a:solidFill>
                    <a:latin typeface="新細明體"/>
                    <a:ea typeface="新細明體"/>
                  </a:rPr>
                  <a:t>kg/ha)</a:t>
                </a:r>
              </a:p>
            </c:rich>
          </c:tx>
          <c:layout>
            <c:manualLayout>
              <c:xMode val="edge"/>
              <c:yMode val="edge"/>
              <c:x val="0"/>
              <c:y val="0.32962962962962961"/>
            </c:manualLayout>
          </c:layout>
          <c:overlay val="0"/>
          <c:spPr>
            <a:noFill/>
            <a:ln w="25381">
              <a:noFill/>
            </a:ln>
          </c:spPr>
        </c:title>
        <c:numFmt formatCode="General" sourceLinked="1"/>
        <c:majorTickMark val="cross"/>
        <c:minorTickMark val="none"/>
        <c:tickLblPos val="nextTo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Arial Narrow"/>
                <a:ea typeface="Arial Narrow"/>
                <a:cs typeface="Arial Narrow"/>
              </a:defRPr>
            </a:pPr>
            <a:endParaRPr lang="en-US"/>
          </a:p>
        </c:txPr>
        <c:crossAx val="297406464"/>
        <c:crosses val="autoZero"/>
        <c:crossBetween val="between"/>
      </c:valAx>
      <c:spPr>
        <a:solidFill>
          <a:srgbClr val="FFFFFF"/>
        </a:solidFill>
        <a:ln w="1269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31475409836065571"/>
          <c:y val="0.60370370370370363"/>
          <c:w val="0.42950819672131152"/>
          <c:h val="0.20370370370370369"/>
        </c:manualLayout>
      </c:layout>
      <c:overlay val="0"/>
      <c:spPr>
        <a:solidFill>
          <a:srgbClr val="FFFFFF"/>
        </a:solidFill>
        <a:ln w="3173">
          <a:solidFill>
            <a:srgbClr val="000000"/>
          </a:solidFill>
          <a:prstDash val="solid"/>
        </a:ln>
      </c:spPr>
      <c:txPr>
        <a:bodyPr/>
        <a:lstStyle/>
        <a:p>
          <a:pPr>
            <a:defRPr sz="365" b="0" i="0" u="none" strike="noStrike" baseline="0">
              <a:solidFill>
                <a:srgbClr val="000000"/>
              </a:solidFill>
              <a:latin typeface="標楷體"/>
              <a:ea typeface="標楷體"/>
              <a:cs typeface="標楷體"/>
            </a:defRPr>
          </a:pPr>
          <a:endParaRPr lang="en-US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00" b="0" i="0" u="none" strike="noStrike" baseline="0">
          <a:solidFill>
            <a:srgbClr val="000000"/>
          </a:solidFill>
          <a:latin typeface="新細明體"/>
          <a:ea typeface="新細明體"/>
          <a:cs typeface="新細明體"/>
        </a:defRPr>
      </a:pPr>
      <a:endParaRPr lang="en-US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0.24725</cdr:x>
      <cdr:y>0.484</cdr:y>
    </cdr:from>
    <cdr:to>
      <cdr:x>0.30225</cdr:x>
      <cdr:y>0.5405</cdr:y>
    </cdr:to>
    <cdr:sp macro="" textlink="">
      <cdr:nvSpPr>
        <cdr:cNvPr id="3073" name="Text Box 1025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665459" y="1081373"/>
          <a:ext cx="148029" cy="126235"/>
        </a:xfrm>
        <a:prstGeom xmlns:a="http://schemas.openxmlformats.org/drawingml/2006/main" prst="rect">
          <a:avLst/>
        </a:prstGeom>
        <a:solidFill xmlns:a="http://schemas.openxmlformats.org/drawingml/2006/main">
          <a:srgbClr xmlns:mc="http://schemas.openxmlformats.org/markup-compatibility/2006" xmlns:a14="http://schemas.microsoft.com/office/drawing/2010/main" val="FFFFFF" mc:Ignorable="a14" a14:legacySpreadsheetColorIndex="9"/>
        </a:solidFill>
        <a:ln xmlns:a="http://schemas.openxmlformats.org/drawingml/2006/main">
          <a:noFill/>
        </a:ln>
        <a:extLst xmlns:a="http://schemas.openxmlformats.org/drawingml/2006/main"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18288" tIns="18288" rIns="18288" bIns="0" anchor="t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en-US" sz="400" b="0" i="0" u="none" strike="noStrike" baseline="0">
              <a:solidFill>
                <a:srgbClr val="000000"/>
              </a:solidFill>
              <a:latin typeface="Arial Narrow"/>
            </a:rPr>
            <a:t>100%</a:t>
          </a:r>
        </a:p>
      </cdr:txBody>
    </cdr:sp>
  </cdr:relSizeAnchor>
  <cdr:relSizeAnchor xmlns:cdr="http://schemas.openxmlformats.org/drawingml/2006/chartDrawing">
    <cdr:from>
      <cdr:x>0.34525</cdr:x>
      <cdr:y>0.48775</cdr:y>
    </cdr:from>
    <cdr:to>
      <cdr:x>0.40175</cdr:x>
      <cdr:y>0.5405</cdr:y>
    </cdr:to>
    <cdr:sp macro="" textlink="">
      <cdr:nvSpPr>
        <cdr:cNvPr id="3074" name="Text Box 1026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929220" y="1089752"/>
          <a:ext cx="152067" cy="117856"/>
        </a:xfrm>
        <a:prstGeom xmlns:a="http://schemas.openxmlformats.org/drawingml/2006/main" prst="rect">
          <a:avLst/>
        </a:prstGeom>
        <a:solidFill xmlns:a="http://schemas.openxmlformats.org/drawingml/2006/main">
          <a:srgbClr xmlns:mc="http://schemas.openxmlformats.org/markup-compatibility/2006" xmlns:a14="http://schemas.microsoft.com/office/drawing/2010/main" val="FFFFFF" mc:Ignorable="a14" a14:legacySpreadsheetColorIndex="9"/>
        </a:solidFill>
        <a:ln xmlns:a="http://schemas.openxmlformats.org/drawingml/2006/main">
          <a:noFill/>
        </a:ln>
        <a:extLst xmlns:a="http://schemas.openxmlformats.org/drawingml/2006/main"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18288" tIns="18288" rIns="18288" bIns="0" anchor="t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en-US" sz="400" b="0" i="0" u="none" strike="noStrike" baseline="0">
              <a:solidFill>
                <a:srgbClr val="000000"/>
              </a:solidFill>
              <a:latin typeface="Arial Narrow"/>
            </a:rPr>
            <a:t>104%</a:t>
          </a:r>
        </a:p>
      </cdr:txBody>
    </cdr:sp>
  </cdr:relSizeAnchor>
  <cdr:relSizeAnchor xmlns:cdr="http://schemas.openxmlformats.org/drawingml/2006/chartDrawing">
    <cdr:from>
      <cdr:x>0.43675</cdr:x>
      <cdr:y>0.48775</cdr:y>
    </cdr:from>
    <cdr:to>
      <cdr:x>0.505</cdr:x>
      <cdr:y>0.5405</cdr:y>
    </cdr:to>
    <cdr:sp macro="" textlink="">
      <cdr:nvSpPr>
        <cdr:cNvPr id="3075" name="Text Box 1027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175487" y="1089752"/>
          <a:ext cx="183691" cy="117856"/>
        </a:xfrm>
        <a:prstGeom xmlns:a="http://schemas.openxmlformats.org/drawingml/2006/main" prst="rect">
          <a:avLst/>
        </a:prstGeom>
        <a:solidFill xmlns:a="http://schemas.openxmlformats.org/drawingml/2006/main">
          <a:srgbClr xmlns:mc="http://schemas.openxmlformats.org/markup-compatibility/2006" xmlns:a14="http://schemas.microsoft.com/office/drawing/2010/main" val="FFFFFF" mc:Ignorable="a14" a14:legacySpreadsheetColorIndex="9"/>
        </a:solidFill>
        <a:ln xmlns:a="http://schemas.openxmlformats.org/drawingml/2006/main">
          <a:noFill/>
        </a:ln>
        <a:extLst xmlns:a="http://schemas.openxmlformats.org/drawingml/2006/main"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18288" tIns="18288" rIns="18288" bIns="0" anchor="t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en-US" sz="400" b="0" i="0" u="none" strike="noStrike" baseline="0">
              <a:solidFill>
                <a:srgbClr val="000000"/>
              </a:solidFill>
              <a:latin typeface="Arial Narrow"/>
            </a:rPr>
            <a:t>  102%</a:t>
          </a:r>
        </a:p>
      </cdr:txBody>
    </cdr:sp>
  </cdr:relSizeAnchor>
  <cdr:relSizeAnchor xmlns:cdr="http://schemas.openxmlformats.org/drawingml/2006/chartDrawing">
    <cdr:from>
      <cdr:x>0.53925</cdr:x>
      <cdr:y>0.4915</cdr:y>
    </cdr:from>
    <cdr:to>
      <cdr:x>0.613</cdr:x>
      <cdr:y>0.54175</cdr:y>
    </cdr:to>
    <cdr:sp macro="" textlink="">
      <cdr:nvSpPr>
        <cdr:cNvPr id="3077" name="Text Box 1029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451360" y="1098130"/>
          <a:ext cx="198494" cy="112271"/>
        </a:xfrm>
        <a:prstGeom xmlns:a="http://schemas.openxmlformats.org/drawingml/2006/main" prst="rect">
          <a:avLst/>
        </a:prstGeom>
        <a:solidFill xmlns:a="http://schemas.openxmlformats.org/drawingml/2006/main">
          <a:srgbClr xmlns:mc="http://schemas.openxmlformats.org/markup-compatibility/2006" xmlns:a14="http://schemas.microsoft.com/office/drawing/2010/main" val="FFFFFF" mc:Ignorable="a14" a14:legacySpreadsheetColorIndex="9"/>
        </a:solidFill>
        <a:ln xmlns:a="http://schemas.openxmlformats.org/drawingml/2006/main">
          <a:noFill/>
        </a:ln>
        <a:extLst xmlns:a="http://schemas.openxmlformats.org/drawingml/2006/main"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18288" tIns="18288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r>
            <a:rPr lang="en-US" sz="400" b="0" i="0" u="none" strike="noStrike" baseline="0">
              <a:solidFill>
                <a:srgbClr val="000000"/>
              </a:solidFill>
              <a:latin typeface="Arial Narrow"/>
            </a:rPr>
            <a:t>  100%</a:t>
          </a:r>
        </a:p>
      </cdr:txBody>
    </cdr:sp>
  </cdr:relSizeAnchor>
  <cdr:relSizeAnchor xmlns:cdr="http://schemas.openxmlformats.org/drawingml/2006/chartDrawing">
    <cdr:from>
      <cdr:x>0.63075</cdr:x>
      <cdr:y>0.48775</cdr:y>
    </cdr:from>
    <cdr:to>
      <cdr:x>0.708</cdr:x>
      <cdr:y>0.5405</cdr:y>
    </cdr:to>
    <cdr:sp macro="" textlink="">
      <cdr:nvSpPr>
        <cdr:cNvPr id="3078" name="Text Box 1030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697627" y="1089752"/>
          <a:ext cx="207914" cy="117856"/>
        </a:xfrm>
        <a:prstGeom xmlns:a="http://schemas.openxmlformats.org/drawingml/2006/main" prst="rect">
          <a:avLst/>
        </a:prstGeom>
        <a:solidFill xmlns:a="http://schemas.openxmlformats.org/drawingml/2006/main">
          <a:srgbClr xmlns:mc="http://schemas.openxmlformats.org/markup-compatibility/2006" xmlns:a14="http://schemas.microsoft.com/office/drawing/2010/main" val="FFFFFF" mc:Ignorable="a14" a14:legacySpreadsheetColorIndex="9"/>
        </a:solidFill>
        <a:ln xmlns:a="http://schemas.openxmlformats.org/drawingml/2006/main">
          <a:noFill/>
        </a:ln>
        <a:extLst xmlns:a="http://schemas.openxmlformats.org/drawingml/2006/main"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18288" tIns="18288" rIns="18288" bIns="0" anchor="t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en-US" sz="400" b="0" i="0" u="none" strike="noStrike" baseline="0">
              <a:solidFill>
                <a:srgbClr val="000000"/>
              </a:solidFill>
              <a:latin typeface="Arial Narrow"/>
            </a:rPr>
            <a:t>  102%</a:t>
          </a:r>
        </a:p>
      </cdr:txBody>
    </cdr:sp>
  </cdr:relSizeAnchor>
</c:userShape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Company>DAIS</Company>
  <LinksUpToDate>false</LinksUpToDate>
  <CharactersWithSpaces>9</CharactersWithSpaces>
  <SharedDoc>false</SharedDoc>
  <HLinks>
    <vt:vector size="12" baseType="variant">
      <vt:variant>
        <vt:i4>285109364</vt:i4>
      </vt:variant>
      <vt:variant>
        <vt:i4>-1</vt:i4>
      </vt:variant>
      <vt:variant>
        <vt:i4>1027</vt:i4>
      </vt:variant>
      <vt:variant>
        <vt:i4>1</vt:i4>
      </vt:variant>
      <vt:variant>
        <vt:lpwstr>..\一般圖片檔\一般圖片\水稻-1.bmp</vt:lpwstr>
      </vt:variant>
      <vt:variant>
        <vt:lpwstr/>
      </vt:variant>
      <vt:variant>
        <vt:i4>-385583760</vt:i4>
      </vt:variant>
      <vt:variant>
        <vt:i4>-1</vt:i4>
      </vt:variant>
      <vt:variant>
        <vt:i4>1028</vt:i4>
      </vt:variant>
      <vt:variant>
        <vt:i4>1</vt:i4>
      </vt:variant>
      <vt:variant>
        <vt:lpwstr>..\一般圖片檔\一般圖片\田菁-1.bmp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北部地區水旱田利用調整之土壤管理研究</dc:title>
  <dc:creator>Taoyuan</dc:creator>
  <cp:lastModifiedBy>Chang Hebe</cp:lastModifiedBy>
  <cp:revision>3</cp:revision>
  <cp:lastPrinted>2000-11-17T01:32:00Z</cp:lastPrinted>
  <dcterms:created xsi:type="dcterms:W3CDTF">2021-06-16T08:08:00Z</dcterms:created>
  <dcterms:modified xsi:type="dcterms:W3CDTF">2021-06-16T08:08:00Z</dcterms:modified>
</cp:coreProperties>
</file>