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07E64">
      <w:pPr>
        <w:spacing w:line="400" w:lineRule="exact"/>
        <w:ind w:firstLineChars="225" w:firstLine="630"/>
        <w:rPr>
          <w:rFonts w:ascii="DFKai-SB" w:eastAsia="DFKai-SB" w:hAnsi="DFKai-SB" w:hint="eastAsia"/>
          <w:sz w:val="28"/>
          <w:szCs w:val="28"/>
        </w:rPr>
      </w:pPr>
      <w:bookmarkStart w:id="0" w:name="_GoBack"/>
      <w:bookmarkEnd w:id="0"/>
      <w:r>
        <w:rPr>
          <w:rFonts w:ascii="DFKai-SB" w:eastAsia="DFKai-SB" w:hAnsi="DFKai-SB" w:hint="eastAsia"/>
          <w:sz w:val="28"/>
          <w:szCs w:val="28"/>
        </w:rPr>
        <w:t xml:space="preserve"> </w:t>
      </w:r>
    </w:p>
    <w:p w:rsidR="00B07E64" w:rsidRDefault="00090992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719445" cy="2441575"/>
            <wp:effectExtent l="0" t="0" r="0" b="0"/>
            <wp:docPr id="1" name="物件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B07E64">
      <w:footerReference w:type="even" r:id="rId8"/>
      <w:footerReference w:type="default" r:id="rId9"/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E64" w:rsidRDefault="00B07E64">
      <w:r>
        <w:separator/>
      </w:r>
    </w:p>
  </w:endnote>
  <w:endnote w:type="continuationSeparator" w:id="0">
    <w:p w:rsidR="00B07E64" w:rsidRDefault="00B07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07E6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B07E6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07E6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90992">
      <w:rPr>
        <w:rStyle w:val="a5"/>
        <w:noProof/>
      </w:rPr>
      <w:t>1</w:t>
    </w:r>
    <w:r>
      <w:rPr>
        <w:rStyle w:val="a5"/>
      </w:rPr>
      <w:fldChar w:fldCharType="end"/>
    </w:r>
  </w:p>
  <w:p w:rsidR="00000000" w:rsidRDefault="00B07E6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E64" w:rsidRDefault="00B07E64">
      <w:r>
        <w:separator/>
      </w:r>
    </w:p>
  </w:footnote>
  <w:footnote w:type="continuationSeparator" w:id="0">
    <w:p w:rsidR="00B07E64" w:rsidRDefault="00B07E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992"/>
    <w:rsid w:val="00090992"/>
    <w:rsid w:val="00B0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DFKai-SB" w:eastAsia="DFKai-SB" w:hAnsi="DFKai-SB"/>
      <w:b/>
      <w:sz w:val="26"/>
      <w:szCs w:val="26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DFKai-SB" w:eastAsia="DFKai-SB" w:hAnsi="DFKai-SB"/>
      <w:b/>
      <w:sz w:val="26"/>
      <w:szCs w:val="26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___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3076923076923076E-2"/>
          <c:y val="0.16236162361623616"/>
          <c:w val="0.84923076923076923"/>
          <c:h val="0.74169741697416958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葡萄3!$G$52</c:f>
              <c:strCache>
                <c:ptCount val="1"/>
                <c:pt idx="0">
                  <c:v>產量</c:v>
                </c:pt>
              </c:strCache>
            </c:strRef>
          </c:tx>
          <c:spPr>
            <a:solidFill>
              <a:srgbClr val="993366"/>
            </a:solidFill>
            <a:ln w="1271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葡萄3!$F$56:$F$62</c:f>
              <c:strCache>
                <c:ptCount val="7"/>
                <c:pt idx="0">
                  <c:v>86年</c:v>
                </c:pt>
                <c:pt idx="1">
                  <c:v>87年</c:v>
                </c:pt>
                <c:pt idx="2">
                  <c:v>88年</c:v>
                </c:pt>
                <c:pt idx="3">
                  <c:v>89年</c:v>
                </c:pt>
                <c:pt idx="4">
                  <c:v>90年</c:v>
                </c:pt>
                <c:pt idx="5">
                  <c:v>91年</c:v>
                </c:pt>
                <c:pt idx="6">
                  <c:v>92年</c:v>
                </c:pt>
              </c:strCache>
            </c:strRef>
          </c:cat>
          <c:val>
            <c:numRef>
              <c:f>葡萄3!$G$56:$G$62</c:f>
              <c:numCache>
                <c:formatCode>General</c:formatCode>
                <c:ptCount val="7"/>
                <c:pt idx="0">
                  <c:v>69082</c:v>
                </c:pt>
                <c:pt idx="1">
                  <c:v>57028</c:v>
                </c:pt>
                <c:pt idx="2">
                  <c:v>65234</c:v>
                </c:pt>
                <c:pt idx="3">
                  <c:v>66049</c:v>
                </c:pt>
                <c:pt idx="4">
                  <c:v>62427</c:v>
                </c:pt>
                <c:pt idx="5">
                  <c:v>66663</c:v>
                </c:pt>
                <c:pt idx="6">
                  <c:v>73403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8035072"/>
        <c:axId val="186813248"/>
      </c:barChart>
      <c:lineChart>
        <c:grouping val="standard"/>
        <c:varyColors val="0"/>
        <c:ser>
          <c:idx val="0"/>
          <c:order val="1"/>
          <c:tx>
            <c:strRef>
              <c:f>葡萄3!$H$52</c:f>
              <c:strCache>
                <c:ptCount val="1"/>
                <c:pt idx="0">
                  <c:v>價格</c:v>
                </c:pt>
              </c:strCache>
            </c:strRef>
          </c:tx>
          <c:spPr>
            <a:ln w="12710">
              <a:solidFill>
                <a:srgbClr val="00008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strRef>
              <c:f>葡萄3!$F$56:$F$62</c:f>
              <c:strCache>
                <c:ptCount val="7"/>
                <c:pt idx="0">
                  <c:v>86年</c:v>
                </c:pt>
                <c:pt idx="1">
                  <c:v>87年</c:v>
                </c:pt>
                <c:pt idx="2">
                  <c:v>88年</c:v>
                </c:pt>
                <c:pt idx="3">
                  <c:v>89年</c:v>
                </c:pt>
                <c:pt idx="4">
                  <c:v>90年</c:v>
                </c:pt>
                <c:pt idx="5">
                  <c:v>91年</c:v>
                </c:pt>
                <c:pt idx="6">
                  <c:v>92年</c:v>
                </c:pt>
              </c:strCache>
            </c:strRef>
          </c:cat>
          <c:val>
            <c:numRef>
              <c:f>葡萄3!$H$56:$H$62</c:f>
              <c:numCache>
                <c:formatCode>General</c:formatCode>
                <c:ptCount val="7"/>
                <c:pt idx="0">
                  <c:v>50.33</c:v>
                </c:pt>
                <c:pt idx="1">
                  <c:v>56.93</c:v>
                </c:pt>
                <c:pt idx="2">
                  <c:v>60.74</c:v>
                </c:pt>
                <c:pt idx="3">
                  <c:v>63.29</c:v>
                </c:pt>
                <c:pt idx="4">
                  <c:v>61.29</c:v>
                </c:pt>
                <c:pt idx="5">
                  <c:v>65</c:v>
                </c:pt>
                <c:pt idx="6">
                  <c:v>56.26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8036096"/>
        <c:axId val="186813824"/>
      </c:lineChart>
      <c:catAx>
        <c:axId val="1880350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1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en-US"/>
          </a:p>
        </c:txPr>
        <c:crossAx val="186813248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86813248"/>
        <c:scaling>
          <c:orientation val="minMax"/>
        </c:scaling>
        <c:delete val="0"/>
        <c:axPos val="l"/>
        <c:numFmt formatCode="General" sourceLinked="1"/>
        <c:majorTickMark val="cross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1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en-US"/>
          </a:p>
        </c:txPr>
        <c:crossAx val="188035072"/>
        <c:crosses val="autoZero"/>
        <c:crossBetween val="between"/>
      </c:valAx>
      <c:catAx>
        <c:axId val="188036096"/>
        <c:scaling>
          <c:orientation val="minMax"/>
        </c:scaling>
        <c:delete val="1"/>
        <c:axPos val="b"/>
        <c:majorTickMark val="out"/>
        <c:minorTickMark val="none"/>
        <c:tickLblPos val="nextTo"/>
        <c:crossAx val="186813824"/>
        <c:crosses val="autoZero"/>
        <c:auto val="0"/>
        <c:lblAlgn val="ctr"/>
        <c:lblOffset val="100"/>
        <c:noMultiLvlLbl val="0"/>
      </c:catAx>
      <c:valAx>
        <c:axId val="186813824"/>
        <c:scaling>
          <c:orientation val="minMax"/>
        </c:scaling>
        <c:delete val="0"/>
        <c:axPos val="r"/>
        <c:numFmt formatCode="General" sourceLinked="1"/>
        <c:majorTickMark val="cross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1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en-US"/>
          </a:p>
        </c:txPr>
        <c:crossAx val="188036096"/>
        <c:crosses val="max"/>
        <c:crossBetween val="between"/>
      </c:valAx>
      <c:spPr>
        <a:solidFill>
          <a:srgbClr val="FFFFCC"/>
        </a:solidFill>
        <a:ln w="12710">
          <a:solidFill>
            <a:srgbClr val="808080"/>
          </a:solidFill>
          <a:prstDash val="solid"/>
        </a:ln>
      </c:spPr>
    </c:plotArea>
    <c:legend>
      <c:legendPos val="t"/>
      <c:layout>
        <c:manualLayout>
          <c:xMode val="edge"/>
          <c:yMode val="edge"/>
          <c:x val="0.78923076923076929"/>
          <c:y val="3.690036900369003E-2"/>
          <c:w val="0.20461538461538462"/>
          <c:h val="7.380073800738006E-2"/>
        </c:manualLayout>
      </c:layout>
      <c:overlay val="0"/>
      <c:spPr>
        <a:solidFill>
          <a:srgbClr val="FFFFFF"/>
        </a:solidFill>
        <a:ln w="3177">
          <a:solidFill>
            <a:srgbClr val="000000"/>
          </a:solidFill>
          <a:prstDash val="solid"/>
        </a:ln>
      </c:spPr>
      <c:txPr>
        <a:bodyPr/>
        <a:lstStyle/>
        <a:p>
          <a:pPr>
            <a:defRPr sz="736" b="0" i="0" u="none" strike="noStrike" baseline="0">
              <a:solidFill>
                <a:srgbClr val="000000"/>
              </a:solidFill>
              <a:latin typeface="新細明體"/>
              <a:ea typeface="新細明體"/>
              <a:cs typeface="新細明體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177">
      <a:solidFill>
        <a:srgbClr val="000000"/>
      </a:solidFill>
      <a:prstDash val="solid"/>
    </a:ln>
  </c:spPr>
  <c:txPr>
    <a:bodyPr/>
    <a:lstStyle/>
    <a:p>
      <a:pPr>
        <a:defRPr sz="801" b="0" i="0" u="none" strike="noStrike" baseline="0">
          <a:solidFill>
            <a:srgbClr val="000000"/>
          </a:solidFill>
          <a:latin typeface="新細明體"/>
          <a:ea typeface="新細明體"/>
          <a:cs typeface="新細明體"/>
        </a:defRPr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0.20625</cdr:x>
      <cdr:y>0.03975</cdr:y>
    </cdr:from>
    <cdr:to>
      <cdr:x>0.75075</cdr:x>
      <cdr:y>0.147</cdr:y>
    </cdr:to>
    <cdr:sp macro="" textlink="">
      <cdr:nvSpPr>
        <cdr:cNvPr id="71681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156479" y="92926"/>
          <a:ext cx="3053104" cy="25072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36576" tIns="32004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zh-TW" altLang="en-US" sz="1325" b="0" i="0" u="none" strike="noStrike" baseline="0">
              <a:solidFill>
                <a:srgbClr val="000000"/>
              </a:solidFill>
              <a:latin typeface="標楷體"/>
              <a:ea typeface="標楷體"/>
            </a:rPr>
            <a:t>圖九：巨峰葡萄產地價格與產量</a:t>
          </a:r>
        </a:p>
      </cdr:txBody>
    </cdr:sp>
  </cdr:relSizeAnchor>
</c:userShape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>mcoa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近十年來重要農產品產地價格趨勢分析</dc:title>
  <dc:creator>test</dc:creator>
  <cp:lastModifiedBy>Chang Hebe</cp:lastModifiedBy>
  <cp:revision>2</cp:revision>
  <cp:lastPrinted>2004-11-01T03:17:00Z</cp:lastPrinted>
  <dcterms:created xsi:type="dcterms:W3CDTF">2021-06-20T12:40:00Z</dcterms:created>
  <dcterms:modified xsi:type="dcterms:W3CDTF">2021-06-20T12:40:00Z</dcterms:modified>
</cp:coreProperties>
</file>