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E5E06">
      <w:pPr>
        <w:rPr>
          <w:rFonts w:hint="eastAsia"/>
        </w:rPr>
      </w:pPr>
      <w:bookmarkStart w:id="0" w:name="_GoBack"/>
      <w:bookmarkEnd w:id="0"/>
    </w:p>
    <w:tbl>
      <w:tblPr>
        <w:tblW w:w="90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8"/>
      </w:tblGrid>
      <w:tr w:rsidR="00000000">
        <w:trPr>
          <w:trHeight w:val="390"/>
        </w:trPr>
        <w:tc>
          <w:tcPr>
            <w:tcW w:w="9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0000" w:rsidRDefault="009533F7">
            <w:pPr>
              <w:widowControl/>
              <w:rPr>
                <w:rFonts w:ascii="DFKai-SB" w:eastAsia="DFKai-SB" w:hAnsi="DFKai-SB" w:cs="PMingLiU" w:hint="eastAsia"/>
                <w:kern w:val="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-5448300</wp:posOffset>
                      </wp:positionH>
                      <wp:positionV relativeFrom="paragraph">
                        <wp:posOffset>-4445</wp:posOffset>
                      </wp:positionV>
                      <wp:extent cx="5621655" cy="2849880"/>
                      <wp:effectExtent l="9525" t="5080" r="7620" b="12065"/>
                      <wp:wrapSquare wrapText="bothSides"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21655" cy="2849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0000" w:rsidRDefault="009533F7">
                                  <w:pPr>
                                    <w:rPr>
                                      <w:rFonts w:ascii="DFKai-SB" w:eastAsia="DFKai-SB" w:hAnsi="DFKai-SB" w:cs="PMingLiU"/>
                                      <w:noProof/>
                                      <w:kern w:val="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443220" cy="2268855"/>
                                        <wp:effectExtent l="0" t="0" r="0" b="0"/>
                                        <wp:docPr id="1" name="物件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chart">
                                            <c:chart xmlns:c="http://schemas.openxmlformats.org/drawingml/2006/chart" xmlns:r="http://schemas.openxmlformats.org/officeDocument/2006/relationships" r:id="rId7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-429pt;margin-top:-.35pt;width:442.65pt;height:22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">
                      <v:textbox>
                        <w:txbxContent>
                          <w:p w:rsidR="00000000" w:rsidRDefault="009533F7">
                            <w:pPr>
                              <w:rPr>
                                <w:rFonts w:ascii="DFKai-SB" w:eastAsia="DFKai-SB" w:hAnsi="DFKai-SB" w:cs="PMingLiU"/>
                                <w:noProof/>
                                <w:kern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443220" cy="2268855"/>
                                  <wp:effectExtent l="0" t="0" r="0" b="0"/>
                                  <wp:docPr id="1" name="物件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7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DE5E06" w:rsidRDefault="00DE5E06">
      <w:pPr>
        <w:rPr>
          <w:rFonts w:hint="eastAsia"/>
        </w:rPr>
      </w:pPr>
    </w:p>
    <w:sectPr w:rsidR="00DE5E06">
      <w:footerReference w:type="even" r:id="rId8"/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06" w:rsidRDefault="00DE5E06">
      <w:r>
        <w:separator/>
      </w:r>
    </w:p>
  </w:endnote>
  <w:endnote w:type="continuationSeparator" w:id="0">
    <w:p w:rsidR="00DE5E06" w:rsidRDefault="00DE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E5E0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DE5E0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E5E0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33F7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DE5E0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06" w:rsidRDefault="00DE5E06">
      <w:r>
        <w:separator/>
      </w:r>
    </w:p>
  </w:footnote>
  <w:footnote w:type="continuationSeparator" w:id="0">
    <w:p w:rsidR="00DE5E06" w:rsidRDefault="00DE5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3F7"/>
    <w:rsid w:val="009533F7"/>
    <w:rsid w:val="00DE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354838709677416E-2"/>
          <c:y val="0.13545816733067728"/>
          <c:w val="0.83709677419354844"/>
          <c:h val="0.6613545816733067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蒜頭2!$B$2</c:f>
              <c:strCache>
                <c:ptCount val="1"/>
                <c:pt idx="0">
                  <c:v>年產量</c:v>
                </c:pt>
              </c:strCache>
            </c:strRef>
          </c:tx>
          <c:spPr>
            <a:solidFill>
              <a:srgbClr val="993366"/>
            </a:solidFill>
            <a:ln w="1268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蒜頭2!$A$3:$A$76</c:f>
              <c:strCache>
                <c:ptCount val="74"/>
                <c:pt idx="0">
                  <c:v>83年3月</c:v>
                </c:pt>
                <c:pt idx="1">
                  <c:v>4月</c:v>
                </c:pt>
                <c:pt idx="2">
                  <c:v>5月</c:v>
                </c:pt>
                <c:pt idx="3">
                  <c:v>6月</c:v>
                </c:pt>
                <c:pt idx="4">
                  <c:v>7月</c:v>
                </c:pt>
                <c:pt idx="5">
                  <c:v>8月</c:v>
                </c:pt>
                <c:pt idx="6">
                  <c:v>9月</c:v>
                </c:pt>
                <c:pt idx="7">
                  <c:v>84年3月</c:v>
                </c:pt>
                <c:pt idx="8">
                  <c:v>4月</c:v>
                </c:pt>
                <c:pt idx="9">
                  <c:v>5月</c:v>
                </c:pt>
                <c:pt idx="10">
                  <c:v>6月</c:v>
                </c:pt>
                <c:pt idx="11">
                  <c:v>7月</c:v>
                </c:pt>
                <c:pt idx="12">
                  <c:v>8月</c:v>
                </c:pt>
                <c:pt idx="13">
                  <c:v>9月</c:v>
                </c:pt>
                <c:pt idx="14">
                  <c:v>85年3月</c:v>
                </c:pt>
                <c:pt idx="15">
                  <c:v>4月</c:v>
                </c:pt>
                <c:pt idx="16">
                  <c:v>5月</c:v>
                </c:pt>
                <c:pt idx="17">
                  <c:v>6月</c:v>
                </c:pt>
                <c:pt idx="18">
                  <c:v>7月</c:v>
                </c:pt>
                <c:pt idx="19">
                  <c:v>8月</c:v>
                </c:pt>
                <c:pt idx="20">
                  <c:v>9月</c:v>
                </c:pt>
                <c:pt idx="21">
                  <c:v>86年3月</c:v>
                </c:pt>
                <c:pt idx="22">
                  <c:v>4月</c:v>
                </c:pt>
                <c:pt idx="23">
                  <c:v>5月</c:v>
                </c:pt>
                <c:pt idx="24">
                  <c:v>6月</c:v>
                </c:pt>
                <c:pt idx="25">
                  <c:v>7月</c:v>
                </c:pt>
                <c:pt idx="26">
                  <c:v>8月</c:v>
                </c:pt>
                <c:pt idx="27">
                  <c:v>9月</c:v>
                </c:pt>
                <c:pt idx="28">
                  <c:v>87年3月</c:v>
                </c:pt>
                <c:pt idx="29">
                  <c:v>4月</c:v>
                </c:pt>
                <c:pt idx="30">
                  <c:v>5月</c:v>
                </c:pt>
                <c:pt idx="31">
                  <c:v>6月</c:v>
                </c:pt>
                <c:pt idx="32">
                  <c:v>7月</c:v>
                </c:pt>
                <c:pt idx="33">
                  <c:v>8月</c:v>
                </c:pt>
                <c:pt idx="34">
                  <c:v>9月</c:v>
                </c:pt>
                <c:pt idx="35">
                  <c:v>88年3月</c:v>
                </c:pt>
                <c:pt idx="36">
                  <c:v>4月</c:v>
                </c:pt>
                <c:pt idx="37">
                  <c:v>5月</c:v>
                </c:pt>
                <c:pt idx="38">
                  <c:v>6月</c:v>
                </c:pt>
                <c:pt idx="39">
                  <c:v>7月</c:v>
                </c:pt>
                <c:pt idx="40">
                  <c:v>8月</c:v>
                </c:pt>
                <c:pt idx="41">
                  <c:v>9月</c:v>
                </c:pt>
                <c:pt idx="42">
                  <c:v>89年3月</c:v>
                </c:pt>
                <c:pt idx="43">
                  <c:v>4月</c:v>
                </c:pt>
                <c:pt idx="44">
                  <c:v>5月</c:v>
                </c:pt>
                <c:pt idx="45">
                  <c:v>6月</c:v>
                </c:pt>
                <c:pt idx="46">
                  <c:v>7月</c:v>
                </c:pt>
                <c:pt idx="47">
                  <c:v>8月</c:v>
                </c:pt>
                <c:pt idx="48">
                  <c:v>9月</c:v>
                </c:pt>
                <c:pt idx="49">
                  <c:v>90年3月</c:v>
                </c:pt>
                <c:pt idx="50">
                  <c:v>4月</c:v>
                </c:pt>
                <c:pt idx="51">
                  <c:v>5月</c:v>
                </c:pt>
                <c:pt idx="52">
                  <c:v>6月</c:v>
                </c:pt>
                <c:pt idx="53">
                  <c:v>7月</c:v>
                </c:pt>
                <c:pt idx="54">
                  <c:v>8月</c:v>
                </c:pt>
                <c:pt idx="55">
                  <c:v>9月</c:v>
                </c:pt>
                <c:pt idx="56">
                  <c:v>91年3月</c:v>
                </c:pt>
                <c:pt idx="57">
                  <c:v>4月</c:v>
                </c:pt>
                <c:pt idx="58">
                  <c:v>5月</c:v>
                </c:pt>
                <c:pt idx="59">
                  <c:v>6月</c:v>
                </c:pt>
                <c:pt idx="60">
                  <c:v>7月</c:v>
                </c:pt>
                <c:pt idx="61">
                  <c:v>8月</c:v>
                </c:pt>
                <c:pt idx="62">
                  <c:v>9月</c:v>
                </c:pt>
                <c:pt idx="63">
                  <c:v>92年3月</c:v>
                </c:pt>
                <c:pt idx="64">
                  <c:v>4月</c:v>
                </c:pt>
                <c:pt idx="65">
                  <c:v>5月</c:v>
                </c:pt>
                <c:pt idx="66">
                  <c:v>6月</c:v>
                </c:pt>
                <c:pt idx="67">
                  <c:v>7月</c:v>
                </c:pt>
                <c:pt idx="68">
                  <c:v>8月</c:v>
                </c:pt>
                <c:pt idx="69">
                  <c:v>9月</c:v>
                </c:pt>
                <c:pt idx="70">
                  <c:v>93年3月</c:v>
                </c:pt>
                <c:pt idx="71">
                  <c:v>4月</c:v>
                </c:pt>
                <c:pt idx="72">
                  <c:v>5月</c:v>
                </c:pt>
                <c:pt idx="73">
                  <c:v>6月</c:v>
                </c:pt>
              </c:strCache>
            </c:strRef>
          </c:cat>
          <c:val>
            <c:numRef>
              <c:f>蒜頭2!$B$3:$B$76</c:f>
              <c:numCache>
                <c:formatCode>General</c:formatCode>
                <c:ptCount val="74"/>
                <c:pt idx="0">
                  <c:v>43881</c:v>
                </c:pt>
                <c:pt idx="7">
                  <c:v>41253</c:v>
                </c:pt>
                <c:pt idx="14">
                  <c:v>79031</c:v>
                </c:pt>
                <c:pt idx="21">
                  <c:v>53154</c:v>
                </c:pt>
                <c:pt idx="28">
                  <c:v>32259</c:v>
                </c:pt>
                <c:pt idx="35">
                  <c:v>52275</c:v>
                </c:pt>
                <c:pt idx="42">
                  <c:v>62428</c:v>
                </c:pt>
                <c:pt idx="49">
                  <c:v>54103</c:v>
                </c:pt>
                <c:pt idx="56">
                  <c:v>49071</c:v>
                </c:pt>
                <c:pt idx="63">
                  <c:v>46765</c:v>
                </c:pt>
                <c:pt idx="70">
                  <c:v>58054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9558400"/>
        <c:axId val="198936832"/>
      </c:barChart>
      <c:lineChart>
        <c:grouping val="standard"/>
        <c:varyColors val="0"/>
        <c:ser>
          <c:idx val="0"/>
          <c:order val="1"/>
          <c:tx>
            <c:strRef>
              <c:f>蒜頭2!$C$2</c:f>
              <c:strCache>
                <c:ptCount val="1"/>
                <c:pt idx="0">
                  <c:v>月價格</c:v>
                </c:pt>
              </c:strCache>
            </c:strRef>
          </c:tx>
          <c:spPr>
            <a:ln w="12688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蒜頭2!$A$3:$A$76</c:f>
              <c:strCache>
                <c:ptCount val="74"/>
                <c:pt idx="0">
                  <c:v>83年3月</c:v>
                </c:pt>
                <c:pt idx="1">
                  <c:v>4月</c:v>
                </c:pt>
                <c:pt idx="2">
                  <c:v>5月</c:v>
                </c:pt>
                <c:pt idx="3">
                  <c:v>6月</c:v>
                </c:pt>
                <c:pt idx="4">
                  <c:v>7月</c:v>
                </c:pt>
                <c:pt idx="5">
                  <c:v>8月</c:v>
                </c:pt>
                <c:pt idx="6">
                  <c:v>9月</c:v>
                </c:pt>
                <c:pt idx="7">
                  <c:v>84年3月</c:v>
                </c:pt>
                <c:pt idx="8">
                  <c:v>4月</c:v>
                </c:pt>
                <c:pt idx="9">
                  <c:v>5月</c:v>
                </c:pt>
                <c:pt idx="10">
                  <c:v>6月</c:v>
                </c:pt>
                <c:pt idx="11">
                  <c:v>7月</c:v>
                </c:pt>
                <c:pt idx="12">
                  <c:v>8月</c:v>
                </c:pt>
                <c:pt idx="13">
                  <c:v>9月</c:v>
                </c:pt>
                <c:pt idx="14">
                  <c:v>85年3月</c:v>
                </c:pt>
                <c:pt idx="15">
                  <c:v>4月</c:v>
                </c:pt>
                <c:pt idx="16">
                  <c:v>5月</c:v>
                </c:pt>
                <c:pt idx="17">
                  <c:v>6月</c:v>
                </c:pt>
                <c:pt idx="18">
                  <c:v>7月</c:v>
                </c:pt>
                <c:pt idx="19">
                  <c:v>8月</c:v>
                </c:pt>
                <c:pt idx="20">
                  <c:v>9月</c:v>
                </c:pt>
                <c:pt idx="21">
                  <c:v>86年3月</c:v>
                </c:pt>
                <c:pt idx="22">
                  <c:v>4月</c:v>
                </c:pt>
                <c:pt idx="23">
                  <c:v>5月</c:v>
                </c:pt>
                <c:pt idx="24">
                  <c:v>6月</c:v>
                </c:pt>
                <c:pt idx="25">
                  <c:v>7月</c:v>
                </c:pt>
                <c:pt idx="26">
                  <c:v>8月</c:v>
                </c:pt>
                <c:pt idx="27">
                  <c:v>9月</c:v>
                </c:pt>
                <c:pt idx="28">
                  <c:v>87年3月</c:v>
                </c:pt>
                <c:pt idx="29">
                  <c:v>4月</c:v>
                </c:pt>
                <c:pt idx="30">
                  <c:v>5月</c:v>
                </c:pt>
                <c:pt idx="31">
                  <c:v>6月</c:v>
                </c:pt>
                <c:pt idx="32">
                  <c:v>7月</c:v>
                </c:pt>
                <c:pt idx="33">
                  <c:v>8月</c:v>
                </c:pt>
                <c:pt idx="34">
                  <c:v>9月</c:v>
                </c:pt>
                <c:pt idx="35">
                  <c:v>88年3月</c:v>
                </c:pt>
                <c:pt idx="36">
                  <c:v>4月</c:v>
                </c:pt>
                <c:pt idx="37">
                  <c:v>5月</c:v>
                </c:pt>
                <c:pt idx="38">
                  <c:v>6月</c:v>
                </c:pt>
                <c:pt idx="39">
                  <c:v>7月</c:v>
                </c:pt>
                <c:pt idx="40">
                  <c:v>8月</c:v>
                </c:pt>
                <c:pt idx="41">
                  <c:v>9月</c:v>
                </c:pt>
                <c:pt idx="42">
                  <c:v>89年3月</c:v>
                </c:pt>
                <c:pt idx="43">
                  <c:v>4月</c:v>
                </c:pt>
                <c:pt idx="44">
                  <c:v>5月</c:v>
                </c:pt>
                <c:pt idx="45">
                  <c:v>6月</c:v>
                </c:pt>
                <c:pt idx="46">
                  <c:v>7月</c:v>
                </c:pt>
                <c:pt idx="47">
                  <c:v>8月</c:v>
                </c:pt>
                <c:pt idx="48">
                  <c:v>9月</c:v>
                </c:pt>
                <c:pt idx="49">
                  <c:v>90年3月</c:v>
                </c:pt>
                <c:pt idx="50">
                  <c:v>4月</c:v>
                </c:pt>
                <c:pt idx="51">
                  <c:v>5月</c:v>
                </c:pt>
                <c:pt idx="52">
                  <c:v>6月</c:v>
                </c:pt>
                <c:pt idx="53">
                  <c:v>7月</c:v>
                </c:pt>
                <c:pt idx="54">
                  <c:v>8月</c:v>
                </c:pt>
                <c:pt idx="55">
                  <c:v>9月</c:v>
                </c:pt>
                <c:pt idx="56">
                  <c:v>91年3月</c:v>
                </c:pt>
                <c:pt idx="57">
                  <c:v>4月</c:v>
                </c:pt>
                <c:pt idx="58">
                  <c:v>5月</c:v>
                </c:pt>
                <c:pt idx="59">
                  <c:v>6月</c:v>
                </c:pt>
                <c:pt idx="60">
                  <c:v>7月</c:v>
                </c:pt>
                <c:pt idx="61">
                  <c:v>8月</c:v>
                </c:pt>
                <c:pt idx="62">
                  <c:v>9月</c:v>
                </c:pt>
                <c:pt idx="63">
                  <c:v>92年3月</c:v>
                </c:pt>
                <c:pt idx="64">
                  <c:v>4月</c:v>
                </c:pt>
                <c:pt idx="65">
                  <c:v>5月</c:v>
                </c:pt>
                <c:pt idx="66">
                  <c:v>6月</c:v>
                </c:pt>
                <c:pt idx="67">
                  <c:v>7月</c:v>
                </c:pt>
                <c:pt idx="68">
                  <c:v>8月</c:v>
                </c:pt>
                <c:pt idx="69">
                  <c:v>9月</c:v>
                </c:pt>
                <c:pt idx="70">
                  <c:v>93年3月</c:v>
                </c:pt>
                <c:pt idx="71">
                  <c:v>4月</c:v>
                </c:pt>
                <c:pt idx="72">
                  <c:v>5月</c:v>
                </c:pt>
                <c:pt idx="73">
                  <c:v>6月</c:v>
                </c:pt>
              </c:strCache>
            </c:strRef>
          </c:cat>
          <c:val>
            <c:numRef>
              <c:f>蒜頭2!$C$3:$C$76</c:f>
              <c:numCache>
                <c:formatCode>General</c:formatCode>
                <c:ptCount val="74"/>
                <c:pt idx="0">
                  <c:v>35.5</c:v>
                </c:pt>
                <c:pt idx="1">
                  <c:v>24.44</c:v>
                </c:pt>
                <c:pt idx="2">
                  <c:v>39.64</c:v>
                </c:pt>
                <c:pt idx="3">
                  <c:v>42.74</c:v>
                </c:pt>
                <c:pt idx="4">
                  <c:v>56.31</c:v>
                </c:pt>
                <c:pt idx="5">
                  <c:v>59.57</c:v>
                </c:pt>
                <c:pt idx="6">
                  <c:v>67.94</c:v>
                </c:pt>
                <c:pt idx="7">
                  <c:v>69.930000000000007</c:v>
                </c:pt>
                <c:pt idx="8">
                  <c:v>97.49</c:v>
                </c:pt>
                <c:pt idx="9">
                  <c:v>169.38</c:v>
                </c:pt>
                <c:pt idx="10">
                  <c:v>170.66</c:v>
                </c:pt>
                <c:pt idx="11">
                  <c:v>144.57</c:v>
                </c:pt>
                <c:pt idx="12">
                  <c:v>135.21</c:v>
                </c:pt>
                <c:pt idx="13">
                  <c:v>131.94</c:v>
                </c:pt>
                <c:pt idx="14">
                  <c:v>71.55</c:v>
                </c:pt>
                <c:pt idx="15">
                  <c:v>43.38</c:v>
                </c:pt>
                <c:pt idx="16">
                  <c:v>36.06</c:v>
                </c:pt>
                <c:pt idx="17">
                  <c:v>25.46</c:v>
                </c:pt>
                <c:pt idx="18">
                  <c:v>18.68</c:v>
                </c:pt>
                <c:pt idx="19">
                  <c:v>16.32</c:v>
                </c:pt>
                <c:pt idx="20">
                  <c:v>13.18</c:v>
                </c:pt>
                <c:pt idx="21">
                  <c:v>14.13</c:v>
                </c:pt>
                <c:pt idx="22">
                  <c:v>20.13</c:v>
                </c:pt>
                <c:pt idx="23">
                  <c:v>38</c:v>
                </c:pt>
                <c:pt idx="24">
                  <c:v>35.26</c:v>
                </c:pt>
                <c:pt idx="25">
                  <c:v>37.03</c:v>
                </c:pt>
                <c:pt idx="26">
                  <c:v>38.880000000000003</c:v>
                </c:pt>
                <c:pt idx="27">
                  <c:v>38.64</c:v>
                </c:pt>
                <c:pt idx="28">
                  <c:v>49.6</c:v>
                </c:pt>
                <c:pt idx="29">
                  <c:v>83.77</c:v>
                </c:pt>
                <c:pt idx="30">
                  <c:v>77.47</c:v>
                </c:pt>
                <c:pt idx="31">
                  <c:v>78.78</c:v>
                </c:pt>
                <c:pt idx="32">
                  <c:v>92.44</c:v>
                </c:pt>
                <c:pt idx="33">
                  <c:v>98.11</c:v>
                </c:pt>
                <c:pt idx="34">
                  <c:v>88.41</c:v>
                </c:pt>
                <c:pt idx="35">
                  <c:v>58.72</c:v>
                </c:pt>
                <c:pt idx="36">
                  <c:v>50.47</c:v>
                </c:pt>
                <c:pt idx="37">
                  <c:v>45.87</c:v>
                </c:pt>
                <c:pt idx="38">
                  <c:v>41.8</c:v>
                </c:pt>
                <c:pt idx="39">
                  <c:v>47.97</c:v>
                </c:pt>
                <c:pt idx="40">
                  <c:v>65.569999999999993</c:v>
                </c:pt>
                <c:pt idx="41">
                  <c:v>68.23</c:v>
                </c:pt>
                <c:pt idx="42">
                  <c:v>40.11</c:v>
                </c:pt>
                <c:pt idx="43">
                  <c:v>33.57</c:v>
                </c:pt>
                <c:pt idx="44">
                  <c:v>35.17</c:v>
                </c:pt>
                <c:pt idx="45">
                  <c:v>32.96</c:v>
                </c:pt>
                <c:pt idx="46">
                  <c:v>29.5</c:v>
                </c:pt>
                <c:pt idx="47">
                  <c:v>31.16</c:v>
                </c:pt>
                <c:pt idx="48">
                  <c:v>35</c:v>
                </c:pt>
                <c:pt idx="49">
                  <c:v>26.69</c:v>
                </c:pt>
                <c:pt idx="50">
                  <c:v>24.42</c:v>
                </c:pt>
                <c:pt idx="51">
                  <c:v>20.56</c:v>
                </c:pt>
                <c:pt idx="52">
                  <c:v>20.53</c:v>
                </c:pt>
                <c:pt idx="53">
                  <c:v>20.85</c:v>
                </c:pt>
                <c:pt idx="54">
                  <c:v>22.51</c:v>
                </c:pt>
                <c:pt idx="55">
                  <c:v>24.25</c:v>
                </c:pt>
                <c:pt idx="56">
                  <c:v>36.56</c:v>
                </c:pt>
                <c:pt idx="57">
                  <c:v>33.85</c:v>
                </c:pt>
                <c:pt idx="58">
                  <c:v>36.299999999999997</c:v>
                </c:pt>
                <c:pt idx="59">
                  <c:v>41.15</c:v>
                </c:pt>
                <c:pt idx="60">
                  <c:v>41.93</c:v>
                </c:pt>
                <c:pt idx="61">
                  <c:v>42.88</c:v>
                </c:pt>
                <c:pt idx="62">
                  <c:v>42.34</c:v>
                </c:pt>
                <c:pt idx="63">
                  <c:v>33.42</c:v>
                </c:pt>
                <c:pt idx="64">
                  <c:v>37.630000000000003</c:v>
                </c:pt>
                <c:pt idx="65">
                  <c:v>43.26</c:v>
                </c:pt>
                <c:pt idx="66">
                  <c:v>42.4</c:v>
                </c:pt>
                <c:pt idx="67">
                  <c:v>41.27</c:v>
                </c:pt>
                <c:pt idx="68">
                  <c:v>41.8</c:v>
                </c:pt>
                <c:pt idx="69">
                  <c:v>45.29</c:v>
                </c:pt>
                <c:pt idx="70">
                  <c:v>43.97</c:v>
                </c:pt>
                <c:pt idx="71">
                  <c:v>35.950000000000003</c:v>
                </c:pt>
                <c:pt idx="72">
                  <c:v>36.869999999999997</c:v>
                </c:pt>
                <c:pt idx="73">
                  <c:v>32.49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9559424"/>
        <c:axId val="198937408"/>
      </c:lineChart>
      <c:catAx>
        <c:axId val="29955840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198936832"/>
        <c:crosses val="autoZero"/>
        <c:auto val="0"/>
        <c:lblAlgn val="ctr"/>
        <c:lblOffset val="100"/>
        <c:tickLblSkip val="3"/>
        <c:tickMarkSkip val="1"/>
        <c:noMultiLvlLbl val="0"/>
      </c:catAx>
      <c:valAx>
        <c:axId val="198936832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99558400"/>
        <c:crosses val="autoZero"/>
        <c:crossBetween val="between"/>
      </c:valAx>
      <c:catAx>
        <c:axId val="299559424"/>
        <c:scaling>
          <c:orientation val="minMax"/>
        </c:scaling>
        <c:delete val="1"/>
        <c:axPos val="b"/>
        <c:majorTickMark val="out"/>
        <c:minorTickMark val="none"/>
        <c:tickLblPos val="nextTo"/>
        <c:crossAx val="198937408"/>
        <c:crosses val="autoZero"/>
        <c:auto val="0"/>
        <c:lblAlgn val="ctr"/>
        <c:lblOffset val="100"/>
        <c:noMultiLvlLbl val="0"/>
      </c:catAx>
      <c:valAx>
        <c:axId val="198937408"/>
        <c:scaling>
          <c:orientation val="minMax"/>
        </c:scaling>
        <c:delete val="0"/>
        <c:axPos val="r"/>
        <c:numFmt formatCode="General" sourceLinked="1"/>
        <c:majorTickMark val="cross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99559424"/>
        <c:crosses val="max"/>
        <c:crossBetween val="between"/>
      </c:valAx>
      <c:spPr>
        <a:solidFill>
          <a:srgbClr val="FFFFCC"/>
        </a:solidFill>
        <a:ln w="12688">
          <a:solidFill>
            <a:srgbClr val="808080"/>
          </a:solidFill>
          <a:prstDash val="solid"/>
        </a:ln>
      </c:spPr>
    </c:plotArea>
    <c:legend>
      <c:legendPos val="t"/>
      <c:layout>
        <c:manualLayout>
          <c:xMode val="edge"/>
          <c:yMode val="edge"/>
          <c:x val="0.72580645161290325"/>
          <c:y val="7.9681274900398405E-3"/>
          <c:w val="0.24032258064516129"/>
          <c:h val="8.7649402390438252E-2"/>
        </c:manualLayout>
      </c:layout>
      <c:overlay val="0"/>
      <c:spPr>
        <a:solidFill>
          <a:srgbClr val="FFFFFF"/>
        </a:solidFill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0" i="0" u="none" strike="noStrike" baseline="0">
              <a:solidFill>
                <a:srgbClr val="000000"/>
              </a:solidFill>
              <a:latin typeface="新細明體"/>
              <a:ea typeface="新細明體"/>
              <a:cs typeface="新細明體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2">
      <a:solidFill>
        <a:srgbClr val="000000"/>
      </a:solidFill>
      <a:prstDash val="solid"/>
    </a:ln>
  </c:spPr>
  <c:txPr>
    <a:bodyPr/>
    <a:lstStyle/>
    <a:p>
      <a:pPr>
        <a:defRPr sz="799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0.2175</cdr:x>
      <cdr:y>0.16725</cdr:y>
    </cdr:from>
    <cdr:to>
      <cdr:x>0.266</cdr:x>
      <cdr:y>0.23125</cdr:y>
    </cdr:to>
    <cdr:sp macro="" textlink="">
      <cdr:nvSpPr>
        <cdr:cNvPr id="51201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163272" y="362135"/>
          <a:ext cx="259396" cy="13857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85</a:t>
          </a:r>
        </a:p>
      </cdr:txBody>
    </cdr:sp>
  </cdr:relSizeAnchor>
  <cdr:relSizeAnchor xmlns:cdr="http://schemas.openxmlformats.org/drawingml/2006/chartDrawing">
    <cdr:from>
      <cdr:x>0.3765</cdr:x>
      <cdr:y>0.50375</cdr:y>
    </cdr:from>
    <cdr:to>
      <cdr:x>0.41175</cdr:x>
      <cdr:y>0.564</cdr:y>
    </cdr:to>
    <cdr:sp macro="" textlink="">
      <cdr:nvSpPr>
        <cdr:cNvPr id="5120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013664" y="1090735"/>
          <a:ext cx="188530" cy="1304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87</a:t>
          </a:r>
        </a:p>
      </cdr:txBody>
    </cdr:sp>
  </cdr:relSizeAnchor>
  <cdr:relSizeAnchor xmlns:cdr="http://schemas.openxmlformats.org/drawingml/2006/chartDrawing">
    <cdr:from>
      <cdr:x>0.4495</cdr:x>
      <cdr:y>0.345</cdr:y>
    </cdr:from>
    <cdr:to>
      <cdr:x>0.4955</cdr:x>
      <cdr:y>0.41525</cdr:y>
    </cdr:to>
    <cdr:sp macro="" textlink="">
      <cdr:nvSpPr>
        <cdr:cNvPr id="51203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04095" y="747004"/>
          <a:ext cx="246026" cy="15210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88</a:t>
          </a:r>
        </a:p>
      </cdr:txBody>
    </cdr:sp>
  </cdr:relSizeAnchor>
  <cdr:relSizeAnchor xmlns:cdr="http://schemas.openxmlformats.org/drawingml/2006/chartDrawing">
    <cdr:from>
      <cdr:x>0.6135</cdr:x>
      <cdr:y>0.361</cdr:y>
    </cdr:from>
    <cdr:to>
      <cdr:x>0.6645</cdr:x>
      <cdr:y>0.431</cdr:y>
    </cdr:to>
    <cdr:sp macro="" textlink="">
      <cdr:nvSpPr>
        <cdr:cNvPr id="51204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281229" y="781648"/>
          <a:ext cx="272768" cy="15156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90</a:t>
          </a:r>
        </a:p>
      </cdr:txBody>
    </cdr:sp>
  </cdr:relSizeAnchor>
  <cdr:relSizeAnchor xmlns:cdr="http://schemas.openxmlformats.org/drawingml/2006/chartDrawing">
    <cdr:from>
      <cdr:x>0.682</cdr:x>
      <cdr:y>0.36025</cdr:y>
    </cdr:from>
    <cdr:to>
      <cdr:x>0.72475</cdr:x>
      <cdr:y>0.451</cdr:y>
    </cdr:to>
    <cdr:sp macro="" textlink="">
      <cdr:nvSpPr>
        <cdr:cNvPr id="51205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647593" y="780024"/>
          <a:ext cx="228643" cy="19649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91</a:t>
          </a:r>
        </a:p>
      </cdr:txBody>
    </cdr:sp>
  </cdr:relSizeAnchor>
  <cdr:relSizeAnchor xmlns:cdr="http://schemas.openxmlformats.org/drawingml/2006/chartDrawing">
    <cdr:from>
      <cdr:x>0.55225</cdr:x>
      <cdr:y>0.3</cdr:y>
    </cdr:from>
    <cdr:to>
      <cdr:x>0.605</cdr:x>
      <cdr:y>0.36025</cdr:y>
    </cdr:to>
    <cdr:sp macro="" textlink="">
      <cdr:nvSpPr>
        <cdr:cNvPr id="51206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953641" y="649569"/>
          <a:ext cx="282127" cy="1304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89</a:t>
          </a:r>
        </a:p>
      </cdr:txBody>
    </cdr:sp>
  </cdr:relSizeAnchor>
  <cdr:relSizeAnchor xmlns:cdr="http://schemas.openxmlformats.org/drawingml/2006/chartDrawing">
    <cdr:from>
      <cdr:x>0.2995</cdr:x>
      <cdr:y>0.34175</cdr:y>
    </cdr:from>
    <cdr:to>
      <cdr:x>0.343</cdr:x>
      <cdr:y>0.39275</cdr:y>
    </cdr:to>
    <cdr:sp macro="" textlink="">
      <cdr:nvSpPr>
        <cdr:cNvPr id="51207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01839" y="739967"/>
          <a:ext cx="232654" cy="11042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86</a:t>
          </a:r>
        </a:p>
      </cdr:txBody>
    </cdr:sp>
  </cdr:relSizeAnchor>
  <cdr:relSizeAnchor xmlns:cdr="http://schemas.openxmlformats.org/drawingml/2006/chartDrawing">
    <cdr:from>
      <cdr:x>0.77425</cdr:x>
      <cdr:y>0.39475</cdr:y>
    </cdr:from>
    <cdr:to>
      <cdr:x>0.811</cdr:x>
      <cdr:y>0.46475</cdr:y>
    </cdr:to>
    <cdr:sp macro="" textlink="">
      <cdr:nvSpPr>
        <cdr:cNvPr id="51208" name="Text Box 8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140981" y="854725"/>
          <a:ext cx="196553" cy="15156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92</a:t>
          </a:r>
        </a:p>
      </cdr:txBody>
    </cdr:sp>
  </cdr:relSizeAnchor>
  <cdr:relSizeAnchor xmlns:cdr="http://schemas.openxmlformats.org/drawingml/2006/chartDrawing">
    <cdr:from>
      <cdr:x>0.85875</cdr:x>
      <cdr:y>0.29875</cdr:y>
    </cdr:from>
    <cdr:to>
      <cdr:x>0.90725</cdr:x>
      <cdr:y>0.359</cdr:y>
    </cdr:to>
    <cdr:sp macro="" textlink="">
      <cdr:nvSpPr>
        <cdr:cNvPr id="51209" name="Text Box 9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592919" y="646862"/>
          <a:ext cx="259396" cy="13045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93</a:t>
          </a:r>
        </a:p>
      </cdr:txBody>
    </cdr:sp>
  </cdr:relSizeAnchor>
  <cdr:relSizeAnchor xmlns:cdr="http://schemas.openxmlformats.org/drawingml/2006/chartDrawing">
    <cdr:from>
      <cdr:x>0.1365</cdr:x>
      <cdr:y>0.445</cdr:y>
    </cdr:from>
    <cdr:to>
      <cdr:x>0.1765</cdr:x>
      <cdr:y>0.5025</cdr:y>
    </cdr:to>
    <cdr:sp macro="" textlink="">
      <cdr:nvSpPr>
        <cdr:cNvPr id="51210" name="Text Box 10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730053" y="963527"/>
          <a:ext cx="213936" cy="12450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84</a:t>
          </a:r>
        </a:p>
      </cdr:txBody>
    </cdr:sp>
  </cdr:relSizeAnchor>
  <cdr:relSizeAnchor xmlns:cdr="http://schemas.openxmlformats.org/drawingml/2006/chartDrawing">
    <cdr:from>
      <cdr:x>0.2645</cdr:x>
      <cdr:y>0.00425</cdr:y>
    </cdr:from>
    <cdr:to>
      <cdr:x>0.673</cdr:x>
      <cdr:y>0.12475</cdr:y>
    </cdr:to>
    <cdr:sp macro="" textlink="">
      <cdr:nvSpPr>
        <cdr:cNvPr id="51211" name="Text Box 1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414646" y="9202"/>
          <a:ext cx="2184812" cy="26091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36576" tIns="27432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zh-TW" altLang="en-US" sz="1175" b="0" i="0" u="none" strike="noStrike" baseline="0">
              <a:solidFill>
                <a:srgbClr val="000000"/>
              </a:solidFill>
              <a:latin typeface="標楷體"/>
              <a:ea typeface="標楷體"/>
            </a:rPr>
            <a:t>圖二：蒜頭產地月價格與產</a:t>
          </a:r>
          <a:r>
            <a:rPr lang="zh-TW" altLang="en-US" sz="1250" b="0" i="0" u="none" strike="noStrike" baseline="0">
              <a:solidFill>
                <a:srgbClr val="000000"/>
              </a:solidFill>
              <a:latin typeface="標楷體"/>
              <a:ea typeface="標楷體"/>
            </a:rPr>
            <a:t>量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mcoa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近十年來重要農產品產地價格趨勢分析</dc:title>
  <dc:creator>test</dc:creator>
  <cp:lastModifiedBy>Chang Hebe</cp:lastModifiedBy>
  <cp:revision>3</cp:revision>
  <cp:lastPrinted>2004-11-01T03:17:00Z</cp:lastPrinted>
  <dcterms:created xsi:type="dcterms:W3CDTF">2021-06-20T12:36:00Z</dcterms:created>
  <dcterms:modified xsi:type="dcterms:W3CDTF">2021-06-20T12:36:00Z</dcterms:modified>
</cp:coreProperties>
</file>