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107" w:rsidRPr="0001077E" w:rsidRDefault="00197107" w:rsidP="004E2D73">
      <w:pPr>
        <w:spacing w:before="120" w:after="120" w:line="440" w:lineRule="exact"/>
        <w:jc w:val="center"/>
        <w:rPr>
          <w:rFonts w:eastAsia="標楷體"/>
          <w:b/>
          <w:sz w:val="32"/>
          <w:szCs w:val="28"/>
        </w:rPr>
      </w:pPr>
      <w:bookmarkStart w:id="0" w:name="_GoBack"/>
      <w:bookmarkEnd w:id="0"/>
      <w:r w:rsidRPr="0001077E">
        <w:rPr>
          <w:rFonts w:eastAsia="標楷體"/>
          <w:b/>
          <w:sz w:val="32"/>
          <w:szCs w:val="28"/>
        </w:rPr>
        <w:t>養豬</w:t>
      </w:r>
      <w:r w:rsidR="00EE6119" w:rsidRPr="0001077E">
        <w:rPr>
          <w:rFonts w:eastAsia="標楷體" w:hint="eastAsia"/>
          <w:b/>
          <w:sz w:val="32"/>
          <w:szCs w:val="28"/>
        </w:rPr>
        <w:t>產業經營主性別分析</w:t>
      </w:r>
    </w:p>
    <w:p w:rsidR="007C3BAD" w:rsidRPr="0001077E" w:rsidRDefault="007C3BAD" w:rsidP="004E2D73">
      <w:pPr>
        <w:pStyle w:val="a9"/>
        <w:numPr>
          <w:ilvl w:val="0"/>
          <w:numId w:val="9"/>
        </w:numPr>
        <w:spacing w:before="120" w:after="120" w:line="440" w:lineRule="exact"/>
        <w:ind w:leftChars="0" w:left="567" w:hanging="567"/>
        <w:rPr>
          <w:rFonts w:eastAsia="標楷體"/>
          <w:b/>
          <w:sz w:val="28"/>
          <w:szCs w:val="28"/>
        </w:rPr>
      </w:pPr>
      <w:r w:rsidRPr="0001077E">
        <w:rPr>
          <w:rFonts w:eastAsia="標楷體"/>
          <w:b/>
          <w:sz w:val="28"/>
          <w:szCs w:val="28"/>
        </w:rPr>
        <w:t>前言</w:t>
      </w:r>
    </w:p>
    <w:p w:rsidR="00D76703" w:rsidRPr="0001077E" w:rsidRDefault="00C31E05" w:rsidP="004E2D73">
      <w:pPr>
        <w:pStyle w:val="a9"/>
        <w:spacing w:before="120" w:after="120" w:line="440" w:lineRule="exact"/>
        <w:ind w:leftChars="118" w:left="283" w:firstLineChars="200" w:firstLine="560"/>
        <w:jc w:val="both"/>
        <w:rPr>
          <w:rFonts w:eastAsia="標楷體"/>
          <w:sz w:val="28"/>
          <w:szCs w:val="28"/>
        </w:rPr>
      </w:pPr>
      <w:r w:rsidRPr="0001077E">
        <w:rPr>
          <w:rFonts w:eastAsia="標楷體"/>
          <w:sz w:val="28"/>
          <w:szCs w:val="28"/>
        </w:rPr>
        <w:t>養豬產業向</w:t>
      </w:r>
      <w:r w:rsidR="0001077E" w:rsidRPr="0001077E">
        <w:rPr>
          <w:rFonts w:eastAsia="標楷體" w:hint="eastAsia"/>
          <w:sz w:val="28"/>
          <w:szCs w:val="28"/>
        </w:rPr>
        <w:t>來</w:t>
      </w:r>
      <w:r w:rsidRPr="0001077E">
        <w:rPr>
          <w:rFonts w:eastAsia="標楷體"/>
          <w:sz w:val="28"/>
          <w:szCs w:val="28"/>
        </w:rPr>
        <w:t>為我國農業發展的核心</w:t>
      </w:r>
      <w:r w:rsidR="00E207C6" w:rsidRPr="0001077E">
        <w:rPr>
          <w:rFonts w:eastAsia="標楷體"/>
          <w:sz w:val="28"/>
          <w:szCs w:val="28"/>
        </w:rPr>
        <w:t>產業，</w:t>
      </w:r>
      <w:r w:rsidR="0001077E">
        <w:rPr>
          <w:rFonts w:eastAsia="標楷體"/>
          <w:sz w:val="28"/>
          <w:szCs w:val="28"/>
        </w:rPr>
        <w:t>10</w:t>
      </w:r>
      <w:r w:rsidR="0001077E">
        <w:rPr>
          <w:rFonts w:eastAsia="標楷體" w:hint="eastAsia"/>
          <w:sz w:val="28"/>
          <w:szCs w:val="28"/>
        </w:rPr>
        <w:t>7</w:t>
      </w:r>
      <w:r w:rsidR="00E207C6" w:rsidRPr="0001077E">
        <w:rPr>
          <w:rFonts w:eastAsia="標楷體"/>
          <w:sz w:val="28"/>
          <w:szCs w:val="28"/>
        </w:rPr>
        <w:t>年</w:t>
      </w:r>
      <w:r w:rsidR="00DE5419" w:rsidRPr="0001077E">
        <w:rPr>
          <w:rFonts w:eastAsia="標楷體" w:hint="eastAsia"/>
          <w:sz w:val="28"/>
          <w:szCs w:val="28"/>
        </w:rPr>
        <w:t>毛</w:t>
      </w:r>
      <w:r w:rsidR="00E207C6" w:rsidRPr="0001077E">
        <w:rPr>
          <w:rFonts w:eastAsia="標楷體"/>
          <w:sz w:val="28"/>
          <w:szCs w:val="28"/>
        </w:rPr>
        <w:t>豬產值</w:t>
      </w:r>
      <w:r w:rsidR="00B70436" w:rsidRPr="0001077E">
        <w:rPr>
          <w:rFonts w:eastAsia="標楷體"/>
          <w:sz w:val="28"/>
          <w:szCs w:val="28"/>
        </w:rPr>
        <w:t>7</w:t>
      </w:r>
      <w:r w:rsidR="0001077E">
        <w:rPr>
          <w:rFonts w:eastAsia="標楷體" w:hint="eastAsia"/>
          <w:sz w:val="28"/>
          <w:szCs w:val="28"/>
        </w:rPr>
        <w:t>03.6</w:t>
      </w:r>
      <w:r w:rsidR="00B70436" w:rsidRPr="0001077E">
        <w:rPr>
          <w:rFonts w:eastAsia="標楷體"/>
          <w:sz w:val="28"/>
          <w:szCs w:val="28"/>
        </w:rPr>
        <w:t>億元，占農產品總產值</w:t>
      </w:r>
      <w:r w:rsidR="0001077E">
        <w:rPr>
          <w:rFonts w:eastAsia="標楷體"/>
          <w:sz w:val="28"/>
          <w:szCs w:val="28"/>
        </w:rPr>
        <w:t>13.</w:t>
      </w:r>
      <w:r w:rsidR="0001077E">
        <w:rPr>
          <w:rFonts w:eastAsia="標楷體" w:hint="eastAsia"/>
          <w:sz w:val="28"/>
          <w:szCs w:val="28"/>
        </w:rPr>
        <w:t>4</w:t>
      </w:r>
      <w:r w:rsidR="00B70436" w:rsidRPr="0001077E">
        <w:rPr>
          <w:rFonts w:eastAsia="標楷體"/>
          <w:sz w:val="28"/>
          <w:szCs w:val="28"/>
        </w:rPr>
        <w:t>%</w:t>
      </w:r>
      <w:r w:rsidR="00B70436" w:rsidRPr="0001077E">
        <w:rPr>
          <w:rFonts w:eastAsia="標楷體"/>
          <w:sz w:val="28"/>
          <w:szCs w:val="28"/>
        </w:rPr>
        <w:t>，居國內</w:t>
      </w:r>
      <w:r w:rsidR="00DE5419" w:rsidRPr="0001077E">
        <w:rPr>
          <w:rFonts w:eastAsia="標楷體" w:hint="eastAsia"/>
          <w:sz w:val="28"/>
          <w:szCs w:val="28"/>
        </w:rPr>
        <w:t>單項</w:t>
      </w:r>
      <w:r w:rsidR="004A10F3" w:rsidRPr="0001077E">
        <w:rPr>
          <w:rFonts w:eastAsia="標楷體" w:hint="eastAsia"/>
          <w:sz w:val="28"/>
          <w:szCs w:val="28"/>
        </w:rPr>
        <w:t>農產品</w:t>
      </w:r>
      <w:r w:rsidR="00B70436" w:rsidRPr="0001077E">
        <w:rPr>
          <w:rFonts w:eastAsia="標楷體"/>
          <w:sz w:val="28"/>
          <w:szCs w:val="28"/>
        </w:rPr>
        <w:t>之冠，占畜牧業產值</w:t>
      </w:r>
      <w:r w:rsidR="0001077E">
        <w:rPr>
          <w:rFonts w:eastAsia="標楷體" w:hint="eastAsia"/>
          <w:sz w:val="28"/>
          <w:szCs w:val="28"/>
        </w:rPr>
        <w:t>超過四成</w:t>
      </w:r>
      <w:r w:rsidR="00B70436" w:rsidRPr="0001077E">
        <w:rPr>
          <w:rFonts w:eastAsia="標楷體"/>
          <w:sz w:val="28"/>
          <w:szCs w:val="28"/>
        </w:rPr>
        <w:t>(4</w:t>
      </w:r>
      <w:r w:rsidR="0001077E">
        <w:rPr>
          <w:rFonts w:eastAsia="標楷體" w:hint="eastAsia"/>
          <w:sz w:val="28"/>
          <w:szCs w:val="28"/>
        </w:rPr>
        <w:t>2.2</w:t>
      </w:r>
      <w:r w:rsidR="00B70436" w:rsidRPr="0001077E">
        <w:rPr>
          <w:rFonts w:eastAsia="標楷體"/>
          <w:sz w:val="28"/>
          <w:szCs w:val="28"/>
        </w:rPr>
        <w:t>%)</w:t>
      </w:r>
      <w:r w:rsidR="00B70436" w:rsidRPr="0001077E">
        <w:rPr>
          <w:rFonts w:eastAsia="標楷體"/>
          <w:sz w:val="28"/>
          <w:szCs w:val="28"/>
        </w:rPr>
        <w:t>，對農業貢獻不言可喻</w:t>
      </w:r>
      <w:r w:rsidR="005C646B" w:rsidRPr="0001077E">
        <w:rPr>
          <w:rFonts w:eastAsia="標楷體" w:hint="eastAsia"/>
          <w:sz w:val="28"/>
          <w:szCs w:val="28"/>
        </w:rPr>
        <w:t>；</w:t>
      </w:r>
      <w:r w:rsidR="00F45497" w:rsidRPr="0001077E">
        <w:rPr>
          <w:rFonts w:eastAsia="標楷體" w:hint="eastAsia"/>
          <w:sz w:val="28"/>
          <w:szCs w:val="28"/>
        </w:rPr>
        <w:t>加以國人喜食豬肉</w:t>
      </w:r>
      <w:r w:rsidR="00095AA4" w:rsidRPr="0001077E">
        <w:rPr>
          <w:rFonts w:eastAsia="標楷體" w:hint="eastAsia"/>
          <w:sz w:val="28"/>
          <w:szCs w:val="28"/>
        </w:rPr>
        <w:t>，</w:t>
      </w:r>
      <w:r w:rsidR="00095AA4" w:rsidRPr="0001077E">
        <w:rPr>
          <w:rFonts w:eastAsia="標楷體" w:hint="eastAsia"/>
          <w:sz w:val="28"/>
          <w:szCs w:val="28"/>
        </w:rPr>
        <w:t>10</w:t>
      </w:r>
      <w:r w:rsidR="0001077E">
        <w:rPr>
          <w:rFonts w:eastAsia="標楷體" w:hint="eastAsia"/>
          <w:sz w:val="28"/>
          <w:szCs w:val="28"/>
        </w:rPr>
        <w:t>7</w:t>
      </w:r>
      <w:r w:rsidR="00095AA4" w:rsidRPr="0001077E">
        <w:rPr>
          <w:rFonts w:eastAsia="標楷體" w:hint="eastAsia"/>
          <w:sz w:val="28"/>
          <w:szCs w:val="28"/>
        </w:rPr>
        <w:t>年國人每人每年肉類</w:t>
      </w:r>
      <w:r w:rsidR="00F45497" w:rsidRPr="0001077E">
        <w:rPr>
          <w:rFonts w:eastAsia="標楷體" w:hint="eastAsia"/>
          <w:sz w:val="28"/>
          <w:szCs w:val="28"/>
        </w:rPr>
        <w:t>純</w:t>
      </w:r>
      <w:r w:rsidR="00095AA4" w:rsidRPr="0001077E">
        <w:rPr>
          <w:rFonts w:eastAsia="標楷體" w:hint="eastAsia"/>
          <w:sz w:val="28"/>
          <w:szCs w:val="28"/>
        </w:rPr>
        <w:t>消費量</w:t>
      </w:r>
      <w:r w:rsidR="0001077E">
        <w:rPr>
          <w:rFonts w:eastAsia="標楷體" w:hint="eastAsia"/>
          <w:sz w:val="28"/>
          <w:szCs w:val="28"/>
        </w:rPr>
        <w:t>83.5</w:t>
      </w:r>
      <w:r w:rsidR="00C946DB" w:rsidRPr="0001077E">
        <w:rPr>
          <w:rFonts w:eastAsia="標楷體" w:hint="eastAsia"/>
          <w:sz w:val="28"/>
          <w:szCs w:val="28"/>
        </w:rPr>
        <w:t>公斤，其中豬肉為</w:t>
      </w:r>
      <w:r w:rsidR="0001077E">
        <w:rPr>
          <w:rFonts w:eastAsia="標楷體" w:hint="eastAsia"/>
          <w:sz w:val="28"/>
          <w:szCs w:val="28"/>
        </w:rPr>
        <w:t>37.3</w:t>
      </w:r>
      <w:r w:rsidR="00C946DB" w:rsidRPr="0001077E">
        <w:rPr>
          <w:rFonts w:eastAsia="標楷體" w:hint="eastAsia"/>
          <w:sz w:val="28"/>
          <w:szCs w:val="28"/>
        </w:rPr>
        <w:t>公斤</w:t>
      </w:r>
      <w:r w:rsidR="00D76703" w:rsidRPr="0001077E">
        <w:rPr>
          <w:rFonts w:eastAsia="標楷體" w:hint="eastAsia"/>
          <w:sz w:val="28"/>
          <w:szCs w:val="28"/>
        </w:rPr>
        <w:t>(</w:t>
      </w:r>
      <w:r w:rsidR="00C946DB" w:rsidRPr="0001077E">
        <w:rPr>
          <w:rFonts w:eastAsia="標楷體" w:hint="eastAsia"/>
          <w:sz w:val="28"/>
          <w:szCs w:val="28"/>
        </w:rPr>
        <w:t>占</w:t>
      </w:r>
      <w:r w:rsidR="0001077E">
        <w:rPr>
          <w:rFonts w:eastAsia="標楷體" w:hint="eastAsia"/>
          <w:sz w:val="28"/>
          <w:szCs w:val="28"/>
        </w:rPr>
        <w:t>45</w:t>
      </w:r>
      <w:r w:rsidR="00D76703" w:rsidRPr="0001077E">
        <w:rPr>
          <w:rFonts w:eastAsia="標楷體" w:hint="eastAsia"/>
          <w:sz w:val="28"/>
          <w:szCs w:val="28"/>
        </w:rPr>
        <w:t>%)</w:t>
      </w:r>
      <w:r w:rsidR="00C946DB" w:rsidRPr="0001077E">
        <w:rPr>
          <w:rFonts w:eastAsia="標楷體" w:hint="eastAsia"/>
          <w:sz w:val="28"/>
          <w:szCs w:val="28"/>
        </w:rPr>
        <w:t>，</w:t>
      </w:r>
      <w:r w:rsidR="00550DC5" w:rsidRPr="0001077E">
        <w:rPr>
          <w:rFonts w:eastAsia="標楷體" w:hint="eastAsia"/>
          <w:sz w:val="28"/>
          <w:szCs w:val="28"/>
        </w:rPr>
        <w:t>實為</w:t>
      </w:r>
      <w:r w:rsidR="00F45497" w:rsidRPr="0001077E">
        <w:rPr>
          <w:rFonts w:eastAsia="標楷體" w:hint="eastAsia"/>
          <w:sz w:val="28"/>
          <w:szCs w:val="28"/>
        </w:rPr>
        <w:t>國</w:t>
      </w:r>
      <w:r w:rsidR="00C946DB" w:rsidRPr="0001077E">
        <w:rPr>
          <w:rFonts w:eastAsia="標楷體" w:hint="eastAsia"/>
          <w:sz w:val="28"/>
          <w:szCs w:val="28"/>
        </w:rPr>
        <w:t>人</w:t>
      </w:r>
      <w:r w:rsidR="00F45497" w:rsidRPr="0001077E">
        <w:rPr>
          <w:rFonts w:eastAsia="標楷體" w:hint="eastAsia"/>
          <w:sz w:val="28"/>
          <w:szCs w:val="28"/>
        </w:rPr>
        <w:t>日常生活或重要節慶不</w:t>
      </w:r>
      <w:r w:rsidR="00C946DB" w:rsidRPr="0001077E">
        <w:rPr>
          <w:rFonts w:eastAsia="標楷體" w:hint="eastAsia"/>
          <w:sz w:val="28"/>
          <w:szCs w:val="28"/>
        </w:rPr>
        <w:t>可或缺之肉類消費品項</w:t>
      </w:r>
      <w:r w:rsidR="00B70436" w:rsidRPr="0001077E">
        <w:rPr>
          <w:rFonts w:eastAsia="標楷體"/>
          <w:sz w:val="28"/>
          <w:szCs w:val="28"/>
        </w:rPr>
        <w:t>。</w:t>
      </w:r>
    </w:p>
    <w:p w:rsidR="00197107" w:rsidRPr="0001077E" w:rsidRDefault="00BB40F7" w:rsidP="004E2D73">
      <w:pPr>
        <w:pStyle w:val="a9"/>
        <w:spacing w:before="120" w:after="120" w:line="440" w:lineRule="exact"/>
        <w:ind w:leftChars="118" w:left="283" w:firstLineChars="200" w:firstLine="560"/>
        <w:jc w:val="both"/>
        <w:rPr>
          <w:rFonts w:eastAsia="標楷體"/>
          <w:sz w:val="28"/>
          <w:szCs w:val="28"/>
        </w:rPr>
      </w:pPr>
      <w:r w:rsidRPr="0001077E">
        <w:rPr>
          <w:rFonts w:eastAsia="標楷體" w:hint="eastAsia"/>
          <w:sz w:val="28"/>
          <w:szCs w:val="28"/>
        </w:rPr>
        <w:t>為掌握養豬產業實況，</w:t>
      </w:r>
      <w:r w:rsidR="00F568ED" w:rsidRPr="0001077E">
        <w:rPr>
          <w:rFonts w:eastAsia="標楷體" w:hint="eastAsia"/>
          <w:sz w:val="28"/>
          <w:szCs w:val="28"/>
        </w:rPr>
        <w:t>行政院農業委員會前身中國農村復興聯合委員會</w:t>
      </w:r>
      <w:r w:rsidR="00404726" w:rsidRPr="0001077E">
        <w:rPr>
          <w:rFonts w:eastAsia="標楷體" w:hint="eastAsia"/>
          <w:sz w:val="28"/>
          <w:szCs w:val="28"/>
        </w:rPr>
        <w:t>自</w:t>
      </w:r>
      <w:r w:rsidR="00307226" w:rsidRPr="0001077E">
        <w:rPr>
          <w:rFonts w:eastAsia="標楷體" w:hint="eastAsia"/>
          <w:sz w:val="28"/>
          <w:szCs w:val="28"/>
        </w:rPr>
        <w:t>60</w:t>
      </w:r>
      <w:r w:rsidR="00307226" w:rsidRPr="0001077E">
        <w:rPr>
          <w:rFonts w:eastAsia="標楷體" w:hint="eastAsia"/>
          <w:sz w:val="28"/>
          <w:szCs w:val="28"/>
        </w:rPr>
        <w:t>年起辦理「臺灣地區養豬頭數專案調查」，</w:t>
      </w:r>
      <w:r w:rsidR="00307226" w:rsidRPr="0001077E">
        <w:rPr>
          <w:rFonts w:eastAsia="標楷體" w:hint="eastAsia"/>
          <w:sz w:val="28"/>
          <w:szCs w:val="28"/>
        </w:rPr>
        <w:t>94</w:t>
      </w:r>
      <w:r w:rsidR="00307226" w:rsidRPr="0001077E">
        <w:rPr>
          <w:rFonts w:eastAsia="標楷體" w:hint="eastAsia"/>
          <w:sz w:val="28"/>
          <w:szCs w:val="28"/>
        </w:rPr>
        <w:t>年起調查區域範圍擴大為</w:t>
      </w:r>
      <w:proofErr w:type="gramStart"/>
      <w:r w:rsidR="00307226" w:rsidRPr="0001077E">
        <w:rPr>
          <w:rFonts w:eastAsia="標楷體" w:hint="eastAsia"/>
          <w:sz w:val="28"/>
          <w:szCs w:val="28"/>
        </w:rPr>
        <w:t>臺</w:t>
      </w:r>
      <w:proofErr w:type="gramEnd"/>
      <w:r w:rsidR="00307226" w:rsidRPr="0001077E">
        <w:rPr>
          <w:rFonts w:eastAsia="標楷體" w:hint="eastAsia"/>
          <w:sz w:val="28"/>
          <w:szCs w:val="28"/>
        </w:rPr>
        <w:t>閩地區，除獲得</w:t>
      </w:r>
      <w:r w:rsidR="004133FD" w:rsidRPr="0001077E">
        <w:rPr>
          <w:rFonts w:eastAsia="標楷體"/>
          <w:sz w:val="28"/>
          <w:szCs w:val="28"/>
        </w:rPr>
        <w:t>現有毛豬</w:t>
      </w:r>
      <w:proofErr w:type="gramStart"/>
      <w:r w:rsidR="004133FD" w:rsidRPr="0001077E">
        <w:rPr>
          <w:rFonts w:eastAsia="標楷體"/>
          <w:sz w:val="28"/>
          <w:szCs w:val="28"/>
        </w:rPr>
        <w:t>在養量</w:t>
      </w:r>
      <w:proofErr w:type="gramEnd"/>
      <w:r w:rsidR="00307226" w:rsidRPr="0001077E">
        <w:rPr>
          <w:rFonts w:eastAsia="標楷體" w:hint="eastAsia"/>
          <w:sz w:val="28"/>
          <w:szCs w:val="28"/>
        </w:rPr>
        <w:t>，以瞭解養豬產業經營概況及其變動情形外，</w:t>
      </w:r>
      <w:r w:rsidR="005342A4">
        <w:rPr>
          <w:rFonts w:eastAsia="標楷體" w:hint="eastAsia"/>
          <w:sz w:val="28"/>
          <w:szCs w:val="28"/>
        </w:rPr>
        <w:t>亦同步蒐集經營主年齡、教育程度等基本資料，以掌握產業勞動力投入情形，供政府擬訂產業輔導、調整產業結構等決策</w:t>
      </w:r>
      <w:proofErr w:type="gramStart"/>
      <w:r w:rsidR="005342A4">
        <w:rPr>
          <w:rFonts w:eastAsia="標楷體" w:hint="eastAsia"/>
          <w:sz w:val="28"/>
          <w:szCs w:val="28"/>
        </w:rPr>
        <w:t>之</w:t>
      </w:r>
      <w:r w:rsidR="00307226" w:rsidRPr="0001077E">
        <w:rPr>
          <w:rFonts w:eastAsia="標楷體" w:hint="eastAsia"/>
          <w:sz w:val="28"/>
          <w:szCs w:val="28"/>
        </w:rPr>
        <w:t>參據</w:t>
      </w:r>
      <w:proofErr w:type="gramEnd"/>
      <w:r w:rsidR="00307226" w:rsidRPr="0001077E">
        <w:rPr>
          <w:rFonts w:eastAsia="標楷體" w:hint="eastAsia"/>
          <w:sz w:val="28"/>
          <w:szCs w:val="28"/>
        </w:rPr>
        <w:t>。</w:t>
      </w:r>
    </w:p>
    <w:p w:rsidR="00B3797C" w:rsidRPr="0001077E" w:rsidRDefault="00EE6119" w:rsidP="004E2D73">
      <w:pPr>
        <w:pStyle w:val="a9"/>
        <w:numPr>
          <w:ilvl w:val="0"/>
          <w:numId w:val="9"/>
        </w:numPr>
        <w:spacing w:before="120" w:after="120" w:line="440" w:lineRule="exact"/>
        <w:ind w:leftChars="0" w:left="567" w:hanging="567"/>
        <w:rPr>
          <w:rFonts w:eastAsia="標楷體"/>
          <w:b/>
          <w:sz w:val="28"/>
          <w:szCs w:val="28"/>
        </w:rPr>
      </w:pPr>
      <w:r w:rsidRPr="0001077E">
        <w:rPr>
          <w:rFonts w:eastAsia="標楷體" w:hint="eastAsia"/>
          <w:b/>
          <w:sz w:val="28"/>
          <w:szCs w:val="28"/>
        </w:rPr>
        <w:t>經營主特性</w:t>
      </w:r>
    </w:p>
    <w:p w:rsidR="00B3797C" w:rsidRPr="0001077E" w:rsidRDefault="00EE6119" w:rsidP="004E2D73">
      <w:pPr>
        <w:pStyle w:val="a9"/>
        <w:numPr>
          <w:ilvl w:val="0"/>
          <w:numId w:val="10"/>
        </w:numPr>
        <w:spacing w:before="120" w:after="120" w:line="440" w:lineRule="exact"/>
        <w:ind w:leftChars="0"/>
        <w:rPr>
          <w:rFonts w:eastAsia="標楷體"/>
          <w:sz w:val="28"/>
          <w:szCs w:val="28"/>
        </w:rPr>
      </w:pPr>
      <w:r w:rsidRPr="0001077E">
        <w:rPr>
          <w:rFonts w:eastAsia="標楷體" w:hint="eastAsia"/>
          <w:sz w:val="28"/>
          <w:szCs w:val="28"/>
        </w:rPr>
        <w:t>按年齡及性別分</w:t>
      </w:r>
    </w:p>
    <w:p w:rsidR="000E27EA" w:rsidRPr="000E27EA" w:rsidRDefault="00807AA8" w:rsidP="004E2D73">
      <w:pPr>
        <w:pStyle w:val="a9"/>
        <w:spacing w:before="120" w:after="120" w:line="440" w:lineRule="exact"/>
        <w:ind w:leftChars="0" w:left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　　養豬場經營主合計</w:t>
      </w:r>
      <w:r>
        <w:rPr>
          <w:rFonts w:eastAsia="標楷體" w:hint="eastAsia"/>
          <w:sz w:val="28"/>
          <w:szCs w:val="28"/>
        </w:rPr>
        <w:t>6,609</w:t>
      </w:r>
      <w:r>
        <w:rPr>
          <w:rFonts w:eastAsia="標楷體" w:hint="eastAsia"/>
          <w:sz w:val="28"/>
          <w:szCs w:val="28"/>
        </w:rPr>
        <w:t>人，其中男性</w:t>
      </w:r>
      <w:r>
        <w:rPr>
          <w:rFonts w:eastAsia="標楷體" w:hint="eastAsia"/>
          <w:sz w:val="28"/>
          <w:szCs w:val="28"/>
        </w:rPr>
        <w:t>5,917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89.5%)</w:t>
      </w:r>
      <w:r>
        <w:rPr>
          <w:rFonts w:eastAsia="標楷體" w:hint="eastAsia"/>
          <w:sz w:val="28"/>
          <w:szCs w:val="28"/>
        </w:rPr>
        <w:t>，女性</w:t>
      </w:r>
      <w:r>
        <w:rPr>
          <w:rFonts w:eastAsia="標楷體" w:hint="eastAsia"/>
          <w:sz w:val="28"/>
          <w:szCs w:val="28"/>
        </w:rPr>
        <w:t>692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10.5%)</w:t>
      </w:r>
      <w:r>
        <w:rPr>
          <w:rFonts w:eastAsia="標楷體" w:hint="eastAsia"/>
          <w:sz w:val="28"/>
          <w:szCs w:val="28"/>
        </w:rPr>
        <w:t>。若依年齡層分，</w:t>
      </w:r>
      <w:r>
        <w:rPr>
          <w:rFonts w:eastAsia="標楷體" w:hint="eastAsia"/>
          <w:sz w:val="28"/>
          <w:szCs w:val="28"/>
        </w:rPr>
        <w:t>30</w:t>
      </w:r>
      <w:r>
        <w:rPr>
          <w:rFonts w:eastAsia="標楷體" w:hint="eastAsia"/>
          <w:sz w:val="28"/>
          <w:szCs w:val="28"/>
        </w:rPr>
        <w:t>歲以下合計</w:t>
      </w:r>
      <w:r>
        <w:rPr>
          <w:rFonts w:eastAsia="標楷體" w:hint="eastAsia"/>
          <w:sz w:val="28"/>
          <w:szCs w:val="28"/>
        </w:rPr>
        <w:t>52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0.8%</w:t>
      </w:r>
      <w:r>
        <w:rPr>
          <w:rFonts w:eastAsia="標楷體" w:hint="eastAsia"/>
          <w:sz w:val="28"/>
          <w:szCs w:val="28"/>
        </w:rPr>
        <w:t>，包含男性</w:t>
      </w:r>
      <w:r>
        <w:rPr>
          <w:rFonts w:eastAsia="標楷體" w:hint="eastAsia"/>
          <w:sz w:val="28"/>
          <w:szCs w:val="28"/>
        </w:rPr>
        <w:t>43</w:t>
      </w:r>
      <w:r>
        <w:rPr>
          <w:rFonts w:eastAsia="標楷體" w:hint="eastAsia"/>
          <w:sz w:val="28"/>
          <w:szCs w:val="28"/>
        </w:rPr>
        <w:t>人及女性</w:t>
      </w:r>
      <w:r>
        <w:rPr>
          <w:rFonts w:eastAsia="標楷體" w:hint="eastAsia"/>
          <w:sz w:val="28"/>
          <w:szCs w:val="28"/>
        </w:rPr>
        <w:t>9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31~40</w:t>
      </w:r>
      <w:r>
        <w:rPr>
          <w:rFonts w:eastAsia="標楷體" w:hint="eastAsia"/>
          <w:sz w:val="28"/>
          <w:szCs w:val="28"/>
        </w:rPr>
        <w:t>歲合計</w:t>
      </w:r>
      <w:r>
        <w:rPr>
          <w:rFonts w:eastAsia="標楷體" w:hint="eastAsia"/>
          <w:sz w:val="28"/>
          <w:szCs w:val="28"/>
        </w:rPr>
        <w:t>257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3.9%</w:t>
      </w:r>
      <w:r>
        <w:rPr>
          <w:rFonts w:eastAsia="標楷體" w:hint="eastAsia"/>
          <w:sz w:val="28"/>
          <w:szCs w:val="28"/>
        </w:rPr>
        <w:t>，包含男性</w:t>
      </w:r>
      <w:r>
        <w:rPr>
          <w:rFonts w:eastAsia="標楷體" w:hint="eastAsia"/>
          <w:sz w:val="28"/>
          <w:szCs w:val="28"/>
        </w:rPr>
        <w:t>242</w:t>
      </w:r>
      <w:r>
        <w:rPr>
          <w:rFonts w:eastAsia="標楷體" w:hint="eastAsia"/>
          <w:sz w:val="28"/>
          <w:szCs w:val="28"/>
        </w:rPr>
        <w:t>人及女性</w:t>
      </w:r>
      <w:r>
        <w:rPr>
          <w:rFonts w:eastAsia="標楷體" w:hint="eastAsia"/>
          <w:sz w:val="28"/>
          <w:szCs w:val="28"/>
        </w:rPr>
        <w:t>15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41~50</w:t>
      </w:r>
      <w:r>
        <w:rPr>
          <w:rFonts w:eastAsia="標楷體" w:hint="eastAsia"/>
          <w:sz w:val="28"/>
          <w:szCs w:val="28"/>
        </w:rPr>
        <w:t>歲合計</w:t>
      </w:r>
      <w:r>
        <w:rPr>
          <w:rFonts w:eastAsia="標楷體" w:hint="eastAsia"/>
          <w:sz w:val="28"/>
          <w:szCs w:val="28"/>
        </w:rPr>
        <w:t>924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14.0%</w:t>
      </w:r>
      <w:r>
        <w:rPr>
          <w:rFonts w:eastAsia="標楷體" w:hint="eastAsia"/>
          <w:sz w:val="28"/>
          <w:szCs w:val="28"/>
        </w:rPr>
        <w:t>，包含男性</w:t>
      </w:r>
      <w:r>
        <w:rPr>
          <w:rFonts w:eastAsia="標楷體" w:hint="eastAsia"/>
          <w:sz w:val="28"/>
          <w:szCs w:val="28"/>
        </w:rPr>
        <w:t>845</w:t>
      </w:r>
      <w:r>
        <w:rPr>
          <w:rFonts w:eastAsia="標楷體" w:hint="eastAsia"/>
          <w:sz w:val="28"/>
          <w:szCs w:val="28"/>
        </w:rPr>
        <w:t>人及女性</w:t>
      </w:r>
      <w:r>
        <w:rPr>
          <w:rFonts w:eastAsia="標楷體" w:hint="eastAsia"/>
          <w:sz w:val="28"/>
          <w:szCs w:val="28"/>
        </w:rPr>
        <w:t>79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51~60</w:t>
      </w:r>
      <w:r>
        <w:rPr>
          <w:rFonts w:eastAsia="標楷體" w:hint="eastAsia"/>
          <w:sz w:val="28"/>
          <w:szCs w:val="28"/>
        </w:rPr>
        <w:t>歲合計</w:t>
      </w:r>
      <w:r>
        <w:rPr>
          <w:rFonts w:eastAsia="標楷體" w:hint="eastAsia"/>
          <w:sz w:val="28"/>
          <w:szCs w:val="28"/>
        </w:rPr>
        <w:t>1,771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26.8%</w:t>
      </w:r>
      <w:r>
        <w:rPr>
          <w:rFonts w:eastAsia="標楷體" w:hint="eastAsia"/>
          <w:sz w:val="28"/>
          <w:szCs w:val="28"/>
        </w:rPr>
        <w:t>，包含男性</w:t>
      </w:r>
      <w:r>
        <w:rPr>
          <w:rFonts w:eastAsia="標楷體" w:hint="eastAsia"/>
          <w:sz w:val="28"/>
          <w:szCs w:val="28"/>
        </w:rPr>
        <w:t>1,615</w:t>
      </w:r>
      <w:r>
        <w:rPr>
          <w:rFonts w:eastAsia="標楷體" w:hint="eastAsia"/>
          <w:sz w:val="28"/>
          <w:szCs w:val="28"/>
        </w:rPr>
        <w:t>人及女性</w:t>
      </w:r>
      <w:r>
        <w:rPr>
          <w:rFonts w:eastAsia="標楷體" w:hint="eastAsia"/>
          <w:sz w:val="28"/>
          <w:szCs w:val="28"/>
        </w:rPr>
        <w:t>156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61</w:t>
      </w:r>
      <w:r>
        <w:rPr>
          <w:rFonts w:eastAsia="標楷體" w:hint="eastAsia"/>
          <w:sz w:val="28"/>
          <w:szCs w:val="28"/>
        </w:rPr>
        <w:t>歲以上合計</w:t>
      </w:r>
      <w:r>
        <w:rPr>
          <w:rFonts w:eastAsia="標楷體" w:hint="eastAsia"/>
          <w:sz w:val="28"/>
          <w:szCs w:val="28"/>
        </w:rPr>
        <w:t>3,605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54.5%</w:t>
      </w:r>
      <w:r>
        <w:rPr>
          <w:rFonts w:eastAsia="標楷體" w:hint="eastAsia"/>
          <w:sz w:val="28"/>
          <w:szCs w:val="28"/>
        </w:rPr>
        <w:t>，包含男性</w:t>
      </w:r>
      <w:r>
        <w:rPr>
          <w:rFonts w:eastAsia="標楷體" w:hint="eastAsia"/>
          <w:sz w:val="28"/>
          <w:szCs w:val="28"/>
        </w:rPr>
        <w:t>3,172</w:t>
      </w:r>
      <w:r>
        <w:rPr>
          <w:rFonts w:eastAsia="標楷體" w:hint="eastAsia"/>
          <w:sz w:val="28"/>
          <w:szCs w:val="28"/>
        </w:rPr>
        <w:t>人及女性</w:t>
      </w:r>
      <w:r>
        <w:rPr>
          <w:rFonts w:eastAsia="標楷體" w:hint="eastAsia"/>
          <w:sz w:val="28"/>
          <w:szCs w:val="28"/>
        </w:rPr>
        <w:t>433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)</w:t>
      </w:r>
      <w:r w:rsidR="000E27EA">
        <w:rPr>
          <w:rFonts w:eastAsia="標楷體" w:hint="eastAsia"/>
          <w:sz w:val="28"/>
          <w:szCs w:val="28"/>
        </w:rPr>
        <w:t>。</w:t>
      </w:r>
      <w:r w:rsidR="000E27EA">
        <w:rPr>
          <w:rFonts w:eastAsia="標楷體" w:hint="eastAsia"/>
          <w:sz w:val="28"/>
          <w:szCs w:val="28"/>
        </w:rPr>
        <w:t>(</w:t>
      </w:r>
      <w:proofErr w:type="gramStart"/>
      <w:r w:rsidR="000E27EA">
        <w:rPr>
          <w:rFonts w:eastAsia="標楷體" w:hint="eastAsia"/>
          <w:sz w:val="28"/>
          <w:szCs w:val="28"/>
        </w:rPr>
        <w:t>詳表</w:t>
      </w:r>
      <w:proofErr w:type="gramEnd"/>
      <w:r w:rsidR="000E27EA">
        <w:rPr>
          <w:rFonts w:eastAsia="標楷體" w:hint="eastAsia"/>
          <w:sz w:val="28"/>
          <w:szCs w:val="28"/>
        </w:rPr>
        <w:t>1</w:t>
      </w:r>
      <w:r w:rsidR="000E27EA" w:rsidRPr="000E27EA">
        <w:rPr>
          <w:rFonts w:eastAsia="標楷體" w:hint="eastAsia"/>
          <w:sz w:val="28"/>
          <w:szCs w:val="28"/>
        </w:rPr>
        <w:t>)</w:t>
      </w:r>
    </w:p>
    <w:p w:rsidR="00BA3E3A" w:rsidRPr="0001077E" w:rsidRDefault="00BA3E3A" w:rsidP="005342A4">
      <w:pPr>
        <w:spacing w:before="160" w:after="80" w:line="0" w:lineRule="atLeast"/>
        <w:jc w:val="center"/>
        <w:rPr>
          <w:rFonts w:eastAsia="標楷體"/>
          <w:sz w:val="28"/>
          <w:szCs w:val="28"/>
        </w:rPr>
      </w:pPr>
      <w:r w:rsidRPr="0001077E">
        <w:rPr>
          <w:rFonts w:hint="eastAsia"/>
          <w:noProof/>
          <w:sz w:val="28"/>
          <w:szCs w:val="28"/>
        </w:rPr>
        <w:drawing>
          <wp:inline distT="0" distB="0" distL="0" distR="0" wp14:anchorId="7AC76285" wp14:editId="4E1B8BF7">
            <wp:extent cx="4181475" cy="2235558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677" cy="223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119" w:rsidRPr="0001077E" w:rsidRDefault="00EE6119" w:rsidP="004E2D73">
      <w:pPr>
        <w:pStyle w:val="a9"/>
        <w:numPr>
          <w:ilvl w:val="0"/>
          <w:numId w:val="10"/>
        </w:numPr>
        <w:spacing w:before="120" w:after="120" w:line="440" w:lineRule="exact"/>
        <w:ind w:leftChars="0"/>
        <w:rPr>
          <w:rFonts w:eastAsia="標楷體"/>
          <w:sz w:val="28"/>
          <w:szCs w:val="28"/>
        </w:rPr>
      </w:pPr>
      <w:r w:rsidRPr="0001077E">
        <w:rPr>
          <w:rFonts w:eastAsia="標楷體" w:hint="eastAsia"/>
          <w:sz w:val="28"/>
          <w:szCs w:val="28"/>
        </w:rPr>
        <w:t>按教育程度及性別分</w:t>
      </w:r>
    </w:p>
    <w:p w:rsidR="000E27EA" w:rsidRPr="000E27EA" w:rsidRDefault="000E27EA" w:rsidP="004E2D73">
      <w:pPr>
        <w:pStyle w:val="a9"/>
        <w:spacing w:before="120" w:after="120" w:line="440" w:lineRule="exact"/>
        <w:ind w:leftChars="0" w:left="72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 xml:space="preserve">　　養豬場經營主的教育程度以高中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職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合計</w:t>
      </w:r>
      <w:r>
        <w:rPr>
          <w:rFonts w:eastAsia="標楷體" w:hint="eastAsia"/>
          <w:sz w:val="28"/>
          <w:szCs w:val="28"/>
        </w:rPr>
        <w:t>2,353</w:t>
      </w:r>
      <w:r>
        <w:rPr>
          <w:rFonts w:eastAsia="標楷體" w:hint="eastAsia"/>
          <w:sz w:val="28"/>
          <w:szCs w:val="28"/>
        </w:rPr>
        <w:t>人最高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35.6%)</w:t>
      </w:r>
      <w:r>
        <w:rPr>
          <w:rFonts w:eastAsia="標楷體" w:hint="eastAsia"/>
          <w:sz w:val="28"/>
          <w:szCs w:val="28"/>
        </w:rPr>
        <w:t>，其次為小學及以下</w:t>
      </w:r>
      <w:r>
        <w:rPr>
          <w:rFonts w:eastAsia="標楷體" w:hint="eastAsia"/>
          <w:sz w:val="28"/>
          <w:szCs w:val="28"/>
        </w:rPr>
        <w:t>1,913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28.9%)</w:t>
      </w:r>
      <w:r>
        <w:rPr>
          <w:rFonts w:eastAsia="標楷體" w:hint="eastAsia"/>
          <w:sz w:val="28"/>
          <w:szCs w:val="28"/>
        </w:rPr>
        <w:t>及國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初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中</w:t>
      </w:r>
      <w:r>
        <w:rPr>
          <w:rFonts w:eastAsia="標楷體" w:hint="eastAsia"/>
          <w:sz w:val="28"/>
          <w:szCs w:val="28"/>
        </w:rPr>
        <w:t>1,389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21.0%)</w:t>
      </w:r>
      <w:r>
        <w:rPr>
          <w:rFonts w:eastAsia="標楷體" w:hint="eastAsia"/>
          <w:sz w:val="28"/>
          <w:szCs w:val="28"/>
        </w:rPr>
        <w:t>。以不同性別觀之，男性經營主教育程度以高中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職</w:t>
      </w:r>
      <w:r>
        <w:rPr>
          <w:rFonts w:eastAsia="標楷體" w:hint="eastAsia"/>
          <w:sz w:val="28"/>
          <w:szCs w:val="28"/>
        </w:rPr>
        <w:t>)2,155</w:t>
      </w:r>
      <w:r>
        <w:rPr>
          <w:rFonts w:eastAsia="標楷體" w:hint="eastAsia"/>
          <w:sz w:val="28"/>
          <w:szCs w:val="28"/>
        </w:rPr>
        <w:t>人最高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占男性</w:t>
      </w:r>
      <w:r>
        <w:rPr>
          <w:rFonts w:eastAsia="標楷體" w:hint="eastAsia"/>
          <w:sz w:val="28"/>
          <w:szCs w:val="28"/>
        </w:rPr>
        <w:t>36.4%)</w:t>
      </w:r>
      <w:r>
        <w:rPr>
          <w:rFonts w:eastAsia="標楷體" w:hint="eastAsia"/>
          <w:sz w:val="28"/>
          <w:szCs w:val="28"/>
        </w:rPr>
        <w:t>，其次為小學及以下</w:t>
      </w:r>
      <w:r>
        <w:rPr>
          <w:rFonts w:eastAsia="標楷體" w:hint="eastAsia"/>
          <w:sz w:val="28"/>
          <w:szCs w:val="28"/>
        </w:rPr>
        <w:t>1,637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占男性</w:t>
      </w:r>
      <w:r>
        <w:rPr>
          <w:rFonts w:eastAsia="標楷體" w:hint="eastAsia"/>
          <w:sz w:val="28"/>
          <w:szCs w:val="28"/>
        </w:rPr>
        <w:t>27.6%)</w:t>
      </w:r>
      <w:r>
        <w:rPr>
          <w:rFonts w:eastAsia="標楷體" w:hint="eastAsia"/>
          <w:sz w:val="28"/>
          <w:szCs w:val="28"/>
        </w:rPr>
        <w:t>，國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初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中</w:t>
      </w:r>
      <w:r>
        <w:rPr>
          <w:rFonts w:eastAsia="標楷體" w:hint="eastAsia"/>
          <w:sz w:val="28"/>
          <w:szCs w:val="28"/>
        </w:rPr>
        <w:t>1,254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占男性</w:t>
      </w:r>
      <w:r>
        <w:rPr>
          <w:rFonts w:eastAsia="標楷體" w:hint="eastAsia"/>
          <w:sz w:val="28"/>
          <w:szCs w:val="28"/>
        </w:rPr>
        <w:t>21.2%)</w:t>
      </w:r>
      <w:r>
        <w:rPr>
          <w:rFonts w:eastAsia="標楷體" w:hint="eastAsia"/>
          <w:sz w:val="28"/>
          <w:szCs w:val="28"/>
        </w:rPr>
        <w:t>再次之；女性經營主教育程度則以小學及以下</w:t>
      </w:r>
      <w:r>
        <w:rPr>
          <w:rFonts w:eastAsia="標楷體" w:hint="eastAsia"/>
          <w:sz w:val="28"/>
          <w:szCs w:val="28"/>
        </w:rPr>
        <w:t>276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占女性</w:t>
      </w:r>
      <w:r>
        <w:rPr>
          <w:rFonts w:eastAsia="標楷體" w:hint="eastAsia"/>
          <w:sz w:val="28"/>
          <w:szCs w:val="28"/>
        </w:rPr>
        <w:t>40.5%)</w:t>
      </w:r>
      <w:r>
        <w:rPr>
          <w:rFonts w:eastAsia="標楷體" w:hint="eastAsia"/>
          <w:sz w:val="28"/>
          <w:szCs w:val="28"/>
        </w:rPr>
        <w:t>最高，其次為高中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職</w:t>
      </w:r>
      <w:r>
        <w:rPr>
          <w:rFonts w:eastAsia="標楷體" w:hint="eastAsia"/>
          <w:sz w:val="28"/>
          <w:szCs w:val="28"/>
        </w:rPr>
        <w:t>)198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占女性</w:t>
      </w:r>
      <w:r>
        <w:rPr>
          <w:rFonts w:eastAsia="標楷體" w:hint="eastAsia"/>
          <w:sz w:val="28"/>
          <w:szCs w:val="28"/>
        </w:rPr>
        <w:t>29.0%)</w:t>
      </w:r>
      <w:r>
        <w:rPr>
          <w:rFonts w:eastAsia="標楷體" w:hint="eastAsia"/>
          <w:sz w:val="28"/>
          <w:szCs w:val="28"/>
        </w:rPr>
        <w:t>，國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初</w:t>
      </w:r>
      <w:r>
        <w:rPr>
          <w:rFonts w:eastAsia="標楷體" w:hint="eastAsia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中</w:t>
      </w:r>
      <w:r>
        <w:rPr>
          <w:rFonts w:eastAsia="標楷體" w:hint="eastAsia"/>
          <w:sz w:val="28"/>
          <w:szCs w:val="28"/>
        </w:rPr>
        <w:t>135</w:t>
      </w:r>
      <w:r>
        <w:rPr>
          <w:rFonts w:eastAsia="標楷體" w:hint="eastAsia"/>
          <w:sz w:val="28"/>
          <w:szCs w:val="28"/>
        </w:rPr>
        <w:t>人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占女性</w:t>
      </w:r>
      <w:r>
        <w:rPr>
          <w:rFonts w:eastAsia="標楷體" w:hint="eastAsia"/>
          <w:sz w:val="28"/>
          <w:szCs w:val="28"/>
        </w:rPr>
        <w:t>19.8%)</w:t>
      </w:r>
      <w:r>
        <w:rPr>
          <w:rFonts w:eastAsia="標楷體" w:hint="eastAsia"/>
          <w:sz w:val="28"/>
          <w:szCs w:val="28"/>
        </w:rPr>
        <w:t>再次之。</w:t>
      </w:r>
      <w:r>
        <w:rPr>
          <w:rFonts w:eastAsia="標楷體" w:hint="eastAsia"/>
          <w:sz w:val="28"/>
          <w:szCs w:val="28"/>
        </w:rPr>
        <w:t>(</w:t>
      </w:r>
      <w:proofErr w:type="gramStart"/>
      <w:r>
        <w:rPr>
          <w:rFonts w:eastAsia="標楷體" w:hint="eastAsia"/>
          <w:sz w:val="28"/>
          <w:szCs w:val="28"/>
        </w:rPr>
        <w:t>詳表</w:t>
      </w:r>
      <w:proofErr w:type="gramEnd"/>
      <w:r>
        <w:rPr>
          <w:rFonts w:eastAsia="標楷體" w:hint="eastAsia"/>
          <w:sz w:val="28"/>
          <w:szCs w:val="28"/>
        </w:rPr>
        <w:t>2</w:t>
      </w:r>
      <w:r w:rsidRPr="000E27EA">
        <w:rPr>
          <w:rFonts w:eastAsia="標楷體" w:hint="eastAsia"/>
          <w:sz w:val="28"/>
          <w:szCs w:val="28"/>
        </w:rPr>
        <w:t>)</w:t>
      </w:r>
    </w:p>
    <w:p w:rsidR="00BA3E3A" w:rsidRDefault="00BA3E3A" w:rsidP="005342A4">
      <w:pPr>
        <w:spacing w:before="160" w:after="80" w:line="0" w:lineRule="atLeast"/>
        <w:jc w:val="center"/>
        <w:rPr>
          <w:rFonts w:eastAsia="標楷體"/>
          <w:sz w:val="28"/>
          <w:szCs w:val="28"/>
        </w:rPr>
      </w:pPr>
      <w:r w:rsidRPr="0001077E">
        <w:rPr>
          <w:noProof/>
          <w:sz w:val="28"/>
          <w:szCs w:val="28"/>
        </w:rPr>
        <w:drawing>
          <wp:inline distT="0" distB="0" distL="0" distR="0" wp14:anchorId="11D5621E" wp14:editId="4221D524">
            <wp:extent cx="4162425" cy="202527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345" cy="202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D73" w:rsidRPr="004E2D73" w:rsidRDefault="004E2D73" w:rsidP="005342A4">
      <w:pPr>
        <w:spacing w:before="160" w:after="80" w:line="0" w:lineRule="atLeast"/>
        <w:jc w:val="center"/>
        <w:rPr>
          <w:rFonts w:eastAsia="標楷體"/>
          <w:sz w:val="22"/>
          <w:szCs w:val="28"/>
        </w:rPr>
      </w:pPr>
      <w:r w:rsidRPr="004E2D73">
        <w:rPr>
          <w:rFonts w:eastAsia="標楷體" w:hint="eastAsia"/>
          <w:sz w:val="22"/>
          <w:szCs w:val="28"/>
        </w:rPr>
        <w:t>圖</w:t>
      </w:r>
      <w:r w:rsidRPr="004E2D73">
        <w:rPr>
          <w:rFonts w:eastAsia="標楷體" w:hint="eastAsia"/>
          <w:sz w:val="22"/>
          <w:szCs w:val="28"/>
        </w:rPr>
        <w:t>1</w:t>
      </w:r>
      <w:r>
        <w:rPr>
          <w:rFonts w:eastAsia="標楷體" w:hint="eastAsia"/>
          <w:sz w:val="22"/>
          <w:szCs w:val="28"/>
        </w:rPr>
        <w:t xml:space="preserve"> </w:t>
      </w:r>
      <w:proofErr w:type="gramStart"/>
      <w:r>
        <w:rPr>
          <w:rFonts w:eastAsia="標楷體" w:hint="eastAsia"/>
          <w:sz w:val="22"/>
          <w:szCs w:val="28"/>
        </w:rPr>
        <w:t>經營主按教育程度</w:t>
      </w:r>
      <w:proofErr w:type="gramEnd"/>
      <w:r>
        <w:rPr>
          <w:rFonts w:eastAsia="標楷體" w:hint="eastAsia"/>
          <w:sz w:val="22"/>
          <w:szCs w:val="28"/>
        </w:rPr>
        <w:t>和性別分配</w:t>
      </w:r>
    </w:p>
    <w:p w:rsidR="004E2D73" w:rsidRPr="0001077E" w:rsidRDefault="004E2D73" w:rsidP="005342A4">
      <w:pPr>
        <w:spacing w:before="160" w:after="80" w:line="0" w:lineRule="atLeast"/>
        <w:jc w:val="center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08FF32EA" wp14:editId="58726160">
            <wp:extent cx="4524292" cy="2162755"/>
            <wp:effectExtent l="0" t="0" r="10160" b="9525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356C9" w:rsidRPr="0001077E" w:rsidRDefault="00E13785" w:rsidP="004E2D73">
      <w:pPr>
        <w:pStyle w:val="a9"/>
        <w:numPr>
          <w:ilvl w:val="0"/>
          <w:numId w:val="9"/>
        </w:numPr>
        <w:spacing w:before="120" w:after="120" w:line="440" w:lineRule="exact"/>
        <w:ind w:leftChars="0" w:left="567" w:hanging="567"/>
        <w:rPr>
          <w:rFonts w:eastAsia="標楷體"/>
          <w:b/>
          <w:sz w:val="28"/>
          <w:szCs w:val="28"/>
        </w:rPr>
      </w:pPr>
      <w:r w:rsidRPr="0001077E">
        <w:rPr>
          <w:rFonts w:eastAsia="標楷體"/>
          <w:b/>
          <w:sz w:val="28"/>
          <w:szCs w:val="28"/>
        </w:rPr>
        <w:t>結</w:t>
      </w:r>
      <w:r w:rsidR="00EE6119" w:rsidRPr="0001077E">
        <w:rPr>
          <w:rFonts w:eastAsia="標楷體" w:hint="eastAsia"/>
          <w:b/>
          <w:sz w:val="28"/>
          <w:szCs w:val="28"/>
        </w:rPr>
        <w:t>論</w:t>
      </w:r>
    </w:p>
    <w:p w:rsidR="00393C8E" w:rsidRPr="004E2D73" w:rsidRDefault="004E2D73" w:rsidP="004E2D73">
      <w:pPr>
        <w:spacing w:before="120" w:after="120" w:line="440" w:lineRule="exact"/>
        <w:ind w:leftChars="200" w:left="480" w:firstLineChars="200" w:firstLine="560"/>
        <w:jc w:val="both"/>
        <w:rPr>
          <w:rFonts w:eastAsia="標楷體"/>
          <w:sz w:val="28"/>
          <w:szCs w:val="28"/>
        </w:rPr>
      </w:pPr>
      <w:r w:rsidRPr="004E2D73">
        <w:rPr>
          <w:rFonts w:eastAsia="標楷體" w:hint="eastAsia"/>
          <w:sz w:val="28"/>
          <w:szCs w:val="28"/>
        </w:rPr>
        <w:t>養豬產業經營</w:t>
      </w:r>
      <w:r>
        <w:rPr>
          <w:rFonts w:eastAsia="標楷體" w:hint="eastAsia"/>
          <w:sz w:val="28"/>
          <w:szCs w:val="28"/>
        </w:rPr>
        <w:t>之主導權</w:t>
      </w:r>
      <w:r w:rsidRPr="004E2D73">
        <w:rPr>
          <w:rFonts w:eastAsia="標楷體" w:hint="eastAsia"/>
          <w:sz w:val="28"/>
          <w:szCs w:val="28"/>
        </w:rPr>
        <w:t>仍以男性為主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占</w:t>
      </w:r>
      <w:r>
        <w:rPr>
          <w:rFonts w:eastAsia="標楷體" w:hint="eastAsia"/>
          <w:sz w:val="28"/>
          <w:szCs w:val="28"/>
        </w:rPr>
        <w:t>89.5%)</w:t>
      </w:r>
      <w:r w:rsidRPr="004E2D73"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且年齡大部分均大於</w:t>
      </w:r>
      <w:r>
        <w:rPr>
          <w:rFonts w:eastAsia="標楷體" w:hint="eastAsia"/>
          <w:sz w:val="28"/>
          <w:szCs w:val="28"/>
        </w:rPr>
        <w:t>51</w:t>
      </w:r>
      <w:r>
        <w:rPr>
          <w:rFonts w:eastAsia="標楷體" w:hint="eastAsia"/>
          <w:sz w:val="28"/>
          <w:szCs w:val="28"/>
        </w:rPr>
        <w:t>歲</w:t>
      </w:r>
      <w:r w:rsidRPr="004E2D73">
        <w:rPr>
          <w:rFonts w:eastAsia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整體平均年齡達</w:t>
      </w:r>
      <w:r>
        <w:rPr>
          <w:rFonts w:eastAsia="標楷體" w:hint="eastAsia"/>
          <w:sz w:val="28"/>
          <w:szCs w:val="28"/>
        </w:rPr>
        <w:t>61.1</w:t>
      </w:r>
      <w:r>
        <w:rPr>
          <w:rFonts w:eastAsia="標楷體" w:hint="eastAsia"/>
          <w:sz w:val="28"/>
          <w:szCs w:val="28"/>
        </w:rPr>
        <w:t>歲；養豬場屬家庭經營者，女性多為工作者角色，</w:t>
      </w:r>
      <w:r w:rsidR="00AF28BB">
        <w:rPr>
          <w:rFonts w:eastAsia="標楷體" w:hint="eastAsia"/>
          <w:sz w:val="28"/>
          <w:szCs w:val="28"/>
        </w:rPr>
        <w:t>可輔導其於工作外提升畜養經營知能</w:t>
      </w:r>
      <w:r w:rsidRPr="004E2D73">
        <w:rPr>
          <w:rFonts w:eastAsia="標楷體" w:hint="eastAsia"/>
          <w:sz w:val="28"/>
          <w:szCs w:val="28"/>
        </w:rPr>
        <w:t>，</w:t>
      </w:r>
      <w:r w:rsidR="00AF28BB">
        <w:rPr>
          <w:rFonts w:eastAsia="標楷體" w:hint="eastAsia"/>
          <w:sz w:val="28"/>
          <w:szCs w:val="28"/>
        </w:rPr>
        <w:t>進而參與決策；至於經營者之教育程度則以高中</w:t>
      </w:r>
      <w:r w:rsidR="00AF28BB">
        <w:rPr>
          <w:rFonts w:eastAsia="標楷體" w:hint="eastAsia"/>
          <w:sz w:val="28"/>
          <w:szCs w:val="28"/>
        </w:rPr>
        <w:t>(</w:t>
      </w:r>
      <w:r w:rsidR="00AF28BB">
        <w:rPr>
          <w:rFonts w:eastAsia="標楷體" w:hint="eastAsia"/>
          <w:sz w:val="28"/>
          <w:szCs w:val="28"/>
        </w:rPr>
        <w:t>職</w:t>
      </w:r>
      <w:r w:rsidR="00AF28BB">
        <w:rPr>
          <w:rFonts w:eastAsia="標楷體" w:hint="eastAsia"/>
          <w:sz w:val="28"/>
          <w:szCs w:val="28"/>
        </w:rPr>
        <w:t>)</w:t>
      </w:r>
      <w:r w:rsidR="00AF28BB">
        <w:rPr>
          <w:rFonts w:eastAsia="標楷體" w:hint="eastAsia"/>
          <w:sz w:val="28"/>
          <w:szCs w:val="28"/>
        </w:rPr>
        <w:t>為主</w:t>
      </w:r>
      <w:r w:rsidR="00AF28BB">
        <w:rPr>
          <w:rFonts w:eastAsia="標楷體" w:hint="eastAsia"/>
          <w:sz w:val="28"/>
          <w:szCs w:val="28"/>
        </w:rPr>
        <w:t>(</w:t>
      </w:r>
      <w:r w:rsidR="00AF28BB">
        <w:rPr>
          <w:rFonts w:eastAsia="標楷體" w:hint="eastAsia"/>
          <w:sz w:val="28"/>
          <w:szCs w:val="28"/>
        </w:rPr>
        <w:t>占</w:t>
      </w:r>
      <w:r w:rsidR="00AF28BB">
        <w:rPr>
          <w:rFonts w:eastAsia="標楷體" w:hint="eastAsia"/>
          <w:sz w:val="28"/>
          <w:szCs w:val="28"/>
        </w:rPr>
        <w:t>35.6%)</w:t>
      </w:r>
      <w:r w:rsidR="00AF28BB">
        <w:rPr>
          <w:rFonts w:eastAsia="標楷體" w:hint="eastAsia"/>
          <w:sz w:val="28"/>
          <w:szCs w:val="28"/>
        </w:rPr>
        <w:t>，其中大學</w:t>
      </w:r>
      <w:r w:rsidR="00AF28BB">
        <w:rPr>
          <w:rFonts w:eastAsia="標楷體" w:hint="eastAsia"/>
          <w:sz w:val="28"/>
          <w:szCs w:val="28"/>
        </w:rPr>
        <w:t>(</w:t>
      </w:r>
      <w:r w:rsidR="00AF28BB">
        <w:rPr>
          <w:rFonts w:eastAsia="標楷體" w:hint="eastAsia"/>
          <w:sz w:val="28"/>
          <w:szCs w:val="28"/>
        </w:rPr>
        <w:t>專</w:t>
      </w:r>
      <w:r w:rsidR="00AF28BB">
        <w:rPr>
          <w:rFonts w:eastAsia="標楷體" w:hint="eastAsia"/>
          <w:sz w:val="28"/>
          <w:szCs w:val="28"/>
        </w:rPr>
        <w:t>)</w:t>
      </w:r>
      <w:r w:rsidR="00AF28BB">
        <w:rPr>
          <w:rFonts w:eastAsia="標楷體" w:hint="eastAsia"/>
          <w:sz w:val="28"/>
          <w:szCs w:val="28"/>
        </w:rPr>
        <w:t>及以上占</w:t>
      </w:r>
      <w:r w:rsidR="00AF28BB">
        <w:rPr>
          <w:rFonts w:eastAsia="標楷體" w:hint="eastAsia"/>
          <w:sz w:val="28"/>
          <w:szCs w:val="28"/>
        </w:rPr>
        <w:t>14.4%</w:t>
      </w:r>
      <w:r w:rsidR="00AF28BB">
        <w:rPr>
          <w:rFonts w:eastAsia="標楷體" w:hint="eastAsia"/>
          <w:sz w:val="28"/>
          <w:szCs w:val="28"/>
        </w:rPr>
        <w:t>，養豬產業因應環保及疫病等因素影響，逐漸朝向大型化之經濟規模發展及家庭戶子女接班經營，教育程度應會持續提升，以因應專業化經營需求。</w:t>
      </w:r>
    </w:p>
    <w:sectPr w:rsidR="00393C8E" w:rsidRPr="004E2D73" w:rsidSect="0079418E">
      <w:footerReference w:type="defaul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928" w:rsidRDefault="00D46928" w:rsidP="004E09B7">
      <w:r>
        <w:separator/>
      </w:r>
    </w:p>
  </w:endnote>
  <w:endnote w:type="continuationSeparator" w:id="0">
    <w:p w:rsidR="00D46928" w:rsidRDefault="00D46928" w:rsidP="004E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811314"/>
      <w:docPartObj>
        <w:docPartGallery w:val="Page Numbers (Bottom of Page)"/>
        <w:docPartUnique/>
      </w:docPartObj>
    </w:sdtPr>
    <w:sdtEndPr/>
    <w:sdtContent>
      <w:p w:rsidR="004E3928" w:rsidRDefault="004E392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149" w:rsidRPr="00433149">
          <w:rPr>
            <w:noProof/>
            <w:lang w:val="zh-TW"/>
          </w:rPr>
          <w:t>1</w:t>
        </w:r>
        <w:r>
          <w:fldChar w:fldCharType="end"/>
        </w:r>
      </w:p>
    </w:sdtContent>
  </w:sdt>
  <w:p w:rsidR="004E3928" w:rsidRDefault="004E392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928" w:rsidRDefault="00D46928" w:rsidP="004E09B7">
      <w:r>
        <w:separator/>
      </w:r>
    </w:p>
  </w:footnote>
  <w:footnote w:type="continuationSeparator" w:id="0">
    <w:p w:rsidR="00D46928" w:rsidRDefault="00D46928" w:rsidP="004E0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0CF9"/>
    <w:multiLevelType w:val="hybridMultilevel"/>
    <w:tmpl w:val="E112101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3CB25F2"/>
    <w:multiLevelType w:val="multilevel"/>
    <w:tmpl w:val="BBB0C356"/>
    <w:lvl w:ilvl="0">
      <w:start w:val="1"/>
      <w:numFmt w:val="decimal"/>
      <w:lvlText w:val="%1."/>
      <w:lvlJc w:val="left"/>
      <w:pPr>
        <w:tabs>
          <w:tab w:val="num" w:pos="1331"/>
        </w:tabs>
        <w:ind w:left="1331" w:hanging="360"/>
      </w:pPr>
    </w:lvl>
    <w:lvl w:ilvl="1" w:tentative="1">
      <w:start w:val="1"/>
      <w:numFmt w:val="decimal"/>
      <w:lvlText w:val="%2."/>
      <w:lvlJc w:val="left"/>
      <w:pPr>
        <w:tabs>
          <w:tab w:val="num" w:pos="2051"/>
        </w:tabs>
        <w:ind w:left="2051" w:hanging="360"/>
      </w:pPr>
    </w:lvl>
    <w:lvl w:ilvl="2" w:tentative="1">
      <w:start w:val="1"/>
      <w:numFmt w:val="decimal"/>
      <w:lvlText w:val="%3."/>
      <w:lvlJc w:val="left"/>
      <w:pPr>
        <w:tabs>
          <w:tab w:val="num" w:pos="2771"/>
        </w:tabs>
        <w:ind w:left="2771" w:hanging="360"/>
      </w:pPr>
    </w:lvl>
    <w:lvl w:ilvl="3" w:tentative="1">
      <w:start w:val="1"/>
      <w:numFmt w:val="decimal"/>
      <w:lvlText w:val="%4."/>
      <w:lvlJc w:val="left"/>
      <w:pPr>
        <w:tabs>
          <w:tab w:val="num" w:pos="3491"/>
        </w:tabs>
        <w:ind w:left="3491" w:hanging="360"/>
      </w:pPr>
    </w:lvl>
    <w:lvl w:ilvl="4" w:tentative="1">
      <w:start w:val="1"/>
      <w:numFmt w:val="decimal"/>
      <w:lvlText w:val="%5."/>
      <w:lvlJc w:val="left"/>
      <w:pPr>
        <w:tabs>
          <w:tab w:val="num" w:pos="4211"/>
        </w:tabs>
        <w:ind w:left="4211" w:hanging="360"/>
      </w:pPr>
    </w:lvl>
    <w:lvl w:ilvl="5" w:tentative="1">
      <w:start w:val="1"/>
      <w:numFmt w:val="decimal"/>
      <w:lvlText w:val="%6."/>
      <w:lvlJc w:val="left"/>
      <w:pPr>
        <w:tabs>
          <w:tab w:val="num" w:pos="4931"/>
        </w:tabs>
        <w:ind w:left="4931" w:hanging="360"/>
      </w:pPr>
    </w:lvl>
    <w:lvl w:ilvl="6" w:tentative="1">
      <w:start w:val="1"/>
      <w:numFmt w:val="decimal"/>
      <w:lvlText w:val="%7."/>
      <w:lvlJc w:val="left"/>
      <w:pPr>
        <w:tabs>
          <w:tab w:val="num" w:pos="5651"/>
        </w:tabs>
        <w:ind w:left="5651" w:hanging="360"/>
      </w:pPr>
    </w:lvl>
    <w:lvl w:ilvl="7" w:tentative="1">
      <w:start w:val="1"/>
      <w:numFmt w:val="decimal"/>
      <w:lvlText w:val="%8."/>
      <w:lvlJc w:val="left"/>
      <w:pPr>
        <w:tabs>
          <w:tab w:val="num" w:pos="6371"/>
        </w:tabs>
        <w:ind w:left="6371" w:hanging="360"/>
      </w:pPr>
    </w:lvl>
    <w:lvl w:ilvl="8" w:tentative="1">
      <w:start w:val="1"/>
      <w:numFmt w:val="decimal"/>
      <w:lvlText w:val="%9."/>
      <w:lvlJc w:val="left"/>
      <w:pPr>
        <w:tabs>
          <w:tab w:val="num" w:pos="7091"/>
        </w:tabs>
        <w:ind w:left="7091" w:hanging="360"/>
      </w:pPr>
    </w:lvl>
  </w:abstractNum>
  <w:abstractNum w:abstractNumId="2">
    <w:nsid w:val="0C2D3991"/>
    <w:multiLevelType w:val="hybridMultilevel"/>
    <w:tmpl w:val="72942A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2055A5"/>
    <w:multiLevelType w:val="hybridMultilevel"/>
    <w:tmpl w:val="CE120B32"/>
    <w:lvl w:ilvl="0" w:tplc="2C8EC7E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1CF17123"/>
    <w:multiLevelType w:val="hybridMultilevel"/>
    <w:tmpl w:val="FA10E4F0"/>
    <w:lvl w:ilvl="0" w:tplc="0834F7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D40A64"/>
    <w:multiLevelType w:val="hybridMultilevel"/>
    <w:tmpl w:val="846E11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A164389"/>
    <w:multiLevelType w:val="hybridMultilevel"/>
    <w:tmpl w:val="518A7BF2"/>
    <w:lvl w:ilvl="0" w:tplc="58703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4E1C42"/>
    <w:multiLevelType w:val="hybridMultilevel"/>
    <w:tmpl w:val="787A4AB0"/>
    <w:lvl w:ilvl="0" w:tplc="723CC19E">
      <w:start w:val="1"/>
      <w:numFmt w:val="decimal"/>
      <w:lvlText w:val="%1.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07" w:hanging="480"/>
      </w:pPr>
    </w:lvl>
    <w:lvl w:ilvl="2" w:tplc="0409001B" w:tentative="1">
      <w:start w:val="1"/>
      <w:numFmt w:val="lowerRoman"/>
      <w:lvlText w:val="%3."/>
      <w:lvlJc w:val="right"/>
      <w:pPr>
        <w:ind w:left="2587" w:hanging="480"/>
      </w:pPr>
    </w:lvl>
    <w:lvl w:ilvl="3" w:tplc="0409000F" w:tentative="1">
      <w:start w:val="1"/>
      <w:numFmt w:val="decimal"/>
      <w:lvlText w:val="%4."/>
      <w:lvlJc w:val="left"/>
      <w:pPr>
        <w:ind w:left="3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7" w:hanging="480"/>
      </w:pPr>
    </w:lvl>
    <w:lvl w:ilvl="5" w:tplc="0409001B" w:tentative="1">
      <w:start w:val="1"/>
      <w:numFmt w:val="lowerRoman"/>
      <w:lvlText w:val="%6."/>
      <w:lvlJc w:val="right"/>
      <w:pPr>
        <w:ind w:left="4027" w:hanging="480"/>
      </w:pPr>
    </w:lvl>
    <w:lvl w:ilvl="6" w:tplc="0409000F" w:tentative="1">
      <w:start w:val="1"/>
      <w:numFmt w:val="decimal"/>
      <w:lvlText w:val="%7."/>
      <w:lvlJc w:val="left"/>
      <w:pPr>
        <w:ind w:left="4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7" w:hanging="480"/>
      </w:pPr>
    </w:lvl>
    <w:lvl w:ilvl="8" w:tplc="0409001B" w:tentative="1">
      <w:start w:val="1"/>
      <w:numFmt w:val="lowerRoman"/>
      <w:lvlText w:val="%9."/>
      <w:lvlJc w:val="right"/>
      <w:pPr>
        <w:ind w:left="5467" w:hanging="480"/>
      </w:pPr>
    </w:lvl>
  </w:abstractNum>
  <w:abstractNum w:abstractNumId="8">
    <w:nsid w:val="36812999"/>
    <w:multiLevelType w:val="multilevel"/>
    <w:tmpl w:val="3DD8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6A4096"/>
    <w:multiLevelType w:val="hybridMultilevel"/>
    <w:tmpl w:val="87E4D3F8"/>
    <w:lvl w:ilvl="0" w:tplc="0DCEE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86A5E79"/>
    <w:multiLevelType w:val="hybridMultilevel"/>
    <w:tmpl w:val="2D2660D2"/>
    <w:lvl w:ilvl="0" w:tplc="D9949C24">
      <w:start w:val="1"/>
      <w:numFmt w:val="decimal"/>
      <w:lvlText w:val="%1."/>
      <w:lvlJc w:val="left"/>
      <w:pPr>
        <w:ind w:left="14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9063F4B"/>
    <w:multiLevelType w:val="hybridMultilevel"/>
    <w:tmpl w:val="CC0EAFAC"/>
    <w:lvl w:ilvl="0" w:tplc="00D4327A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>
    <w:nsid w:val="554335B7"/>
    <w:multiLevelType w:val="hybridMultilevel"/>
    <w:tmpl w:val="116E2ABC"/>
    <w:lvl w:ilvl="0" w:tplc="8A648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E872527"/>
    <w:multiLevelType w:val="hybridMultilevel"/>
    <w:tmpl w:val="E2380888"/>
    <w:lvl w:ilvl="0" w:tplc="7B169C4C">
      <w:start w:val="1"/>
      <w:numFmt w:val="taiwaneseCountingThousand"/>
      <w:lvlText w:val="%1、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D11E9F"/>
    <w:multiLevelType w:val="hybridMultilevel"/>
    <w:tmpl w:val="C622894E"/>
    <w:lvl w:ilvl="0" w:tplc="6FD01F50">
      <w:start w:val="1"/>
      <w:numFmt w:val="taiwaneseCountingThousand"/>
      <w:lvlText w:val="%1、"/>
      <w:lvlJc w:val="left"/>
      <w:pPr>
        <w:ind w:left="540" w:hanging="42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5">
    <w:nsid w:val="719B1D08"/>
    <w:multiLevelType w:val="hybridMultilevel"/>
    <w:tmpl w:val="031A5D3A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9"/>
  </w:num>
  <w:num w:numId="5">
    <w:abstractNumId w:val="3"/>
  </w:num>
  <w:num w:numId="6">
    <w:abstractNumId w:val="10"/>
  </w:num>
  <w:num w:numId="7">
    <w:abstractNumId w:val="7"/>
  </w:num>
  <w:num w:numId="8">
    <w:abstractNumId w:val="5"/>
  </w:num>
  <w:num w:numId="9">
    <w:abstractNumId w:val="2"/>
  </w:num>
  <w:num w:numId="10">
    <w:abstractNumId w:val="11"/>
  </w:num>
  <w:num w:numId="11">
    <w:abstractNumId w:val="4"/>
  </w:num>
  <w:num w:numId="12">
    <w:abstractNumId w:val="12"/>
  </w:num>
  <w:num w:numId="13">
    <w:abstractNumId w:val="6"/>
  </w:num>
  <w:num w:numId="14">
    <w:abstractNumId w:val="13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61"/>
    <w:rsid w:val="0000204F"/>
    <w:rsid w:val="0001077E"/>
    <w:rsid w:val="00012B99"/>
    <w:rsid w:val="00014AD7"/>
    <w:rsid w:val="00015F63"/>
    <w:rsid w:val="00022804"/>
    <w:rsid w:val="00024354"/>
    <w:rsid w:val="00027AB3"/>
    <w:rsid w:val="00030648"/>
    <w:rsid w:val="00041E91"/>
    <w:rsid w:val="00043E0E"/>
    <w:rsid w:val="000471D8"/>
    <w:rsid w:val="000536B4"/>
    <w:rsid w:val="000548A8"/>
    <w:rsid w:val="00061700"/>
    <w:rsid w:val="00061E1A"/>
    <w:rsid w:val="0006613D"/>
    <w:rsid w:val="00074C13"/>
    <w:rsid w:val="00075A81"/>
    <w:rsid w:val="00081995"/>
    <w:rsid w:val="00086F52"/>
    <w:rsid w:val="00095AA4"/>
    <w:rsid w:val="000B0318"/>
    <w:rsid w:val="000B1310"/>
    <w:rsid w:val="000B20C5"/>
    <w:rsid w:val="000B2937"/>
    <w:rsid w:val="000C2724"/>
    <w:rsid w:val="000D4116"/>
    <w:rsid w:val="000E27EA"/>
    <w:rsid w:val="000E36C3"/>
    <w:rsid w:val="000E611A"/>
    <w:rsid w:val="000F297D"/>
    <w:rsid w:val="000F73D2"/>
    <w:rsid w:val="0010026C"/>
    <w:rsid w:val="001041B7"/>
    <w:rsid w:val="001079D6"/>
    <w:rsid w:val="00110973"/>
    <w:rsid w:val="00111F65"/>
    <w:rsid w:val="00114315"/>
    <w:rsid w:val="00114783"/>
    <w:rsid w:val="00114B7F"/>
    <w:rsid w:val="0012394B"/>
    <w:rsid w:val="001239B0"/>
    <w:rsid w:val="001242A0"/>
    <w:rsid w:val="00131E13"/>
    <w:rsid w:val="001328A5"/>
    <w:rsid w:val="00134C0B"/>
    <w:rsid w:val="00140D77"/>
    <w:rsid w:val="001517C5"/>
    <w:rsid w:val="0015271C"/>
    <w:rsid w:val="00164BC3"/>
    <w:rsid w:val="00165B77"/>
    <w:rsid w:val="0017098B"/>
    <w:rsid w:val="0017183E"/>
    <w:rsid w:val="00176188"/>
    <w:rsid w:val="0018572B"/>
    <w:rsid w:val="00197107"/>
    <w:rsid w:val="001A10D1"/>
    <w:rsid w:val="001A1F1B"/>
    <w:rsid w:val="001A33C3"/>
    <w:rsid w:val="001A69E4"/>
    <w:rsid w:val="001A758C"/>
    <w:rsid w:val="001A7783"/>
    <w:rsid w:val="001B2417"/>
    <w:rsid w:val="001B3CE5"/>
    <w:rsid w:val="001C6736"/>
    <w:rsid w:val="001D33A9"/>
    <w:rsid w:val="001E09D4"/>
    <w:rsid w:val="001F101A"/>
    <w:rsid w:val="001F29C3"/>
    <w:rsid w:val="001F4289"/>
    <w:rsid w:val="001F5E80"/>
    <w:rsid w:val="00210685"/>
    <w:rsid w:val="00210B4C"/>
    <w:rsid w:val="00214CC6"/>
    <w:rsid w:val="00216E21"/>
    <w:rsid w:val="00227EAA"/>
    <w:rsid w:val="00243FEF"/>
    <w:rsid w:val="00247653"/>
    <w:rsid w:val="00250E97"/>
    <w:rsid w:val="002635E5"/>
    <w:rsid w:val="002747F8"/>
    <w:rsid w:val="0028400B"/>
    <w:rsid w:val="00287402"/>
    <w:rsid w:val="00287B9E"/>
    <w:rsid w:val="002902E9"/>
    <w:rsid w:val="0029094B"/>
    <w:rsid w:val="00294259"/>
    <w:rsid w:val="002A1304"/>
    <w:rsid w:val="002B07FD"/>
    <w:rsid w:val="002B59EA"/>
    <w:rsid w:val="002B6E84"/>
    <w:rsid w:val="002E3F89"/>
    <w:rsid w:val="002E5CD5"/>
    <w:rsid w:val="002E6B68"/>
    <w:rsid w:val="002F28D4"/>
    <w:rsid w:val="002F44E0"/>
    <w:rsid w:val="002F70D2"/>
    <w:rsid w:val="00302358"/>
    <w:rsid w:val="003038EB"/>
    <w:rsid w:val="003067BF"/>
    <w:rsid w:val="00307226"/>
    <w:rsid w:val="00322A2E"/>
    <w:rsid w:val="0033341C"/>
    <w:rsid w:val="00335E69"/>
    <w:rsid w:val="003361CA"/>
    <w:rsid w:val="00337C44"/>
    <w:rsid w:val="00350AE7"/>
    <w:rsid w:val="003515D2"/>
    <w:rsid w:val="0035683F"/>
    <w:rsid w:val="0035747E"/>
    <w:rsid w:val="00357CB7"/>
    <w:rsid w:val="003763A4"/>
    <w:rsid w:val="003774EB"/>
    <w:rsid w:val="00377916"/>
    <w:rsid w:val="00377BA6"/>
    <w:rsid w:val="0039024F"/>
    <w:rsid w:val="00393C8E"/>
    <w:rsid w:val="00394F84"/>
    <w:rsid w:val="00396D27"/>
    <w:rsid w:val="003A25D1"/>
    <w:rsid w:val="003A3F21"/>
    <w:rsid w:val="003A6636"/>
    <w:rsid w:val="003A7638"/>
    <w:rsid w:val="003B16E6"/>
    <w:rsid w:val="003B6E2C"/>
    <w:rsid w:val="003C244D"/>
    <w:rsid w:val="003C71FF"/>
    <w:rsid w:val="003D7AE4"/>
    <w:rsid w:val="003F01AA"/>
    <w:rsid w:val="003F0C4F"/>
    <w:rsid w:val="003F0D8C"/>
    <w:rsid w:val="004001F8"/>
    <w:rsid w:val="0040432C"/>
    <w:rsid w:val="00404726"/>
    <w:rsid w:val="00405E23"/>
    <w:rsid w:val="0041196A"/>
    <w:rsid w:val="004133FD"/>
    <w:rsid w:val="004300B6"/>
    <w:rsid w:val="00433149"/>
    <w:rsid w:val="00433723"/>
    <w:rsid w:val="004349B8"/>
    <w:rsid w:val="0043700B"/>
    <w:rsid w:val="004505F4"/>
    <w:rsid w:val="00451727"/>
    <w:rsid w:val="004539C5"/>
    <w:rsid w:val="00453A8F"/>
    <w:rsid w:val="00454B2E"/>
    <w:rsid w:val="00454DDF"/>
    <w:rsid w:val="00455A10"/>
    <w:rsid w:val="00456A93"/>
    <w:rsid w:val="00460C62"/>
    <w:rsid w:val="00467B88"/>
    <w:rsid w:val="00470403"/>
    <w:rsid w:val="00471D25"/>
    <w:rsid w:val="004745C5"/>
    <w:rsid w:val="00474F87"/>
    <w:rsid w:val="004828A2"/>
    <w:rsid w:val="0048645D"/>
    <w:rsid w:val="00490147"/>
    <w:rsid w:val="004904B0"/>
    <w:rsid w:val="00490A17"/>
    <w:rsid w:val="00492024"/>
    <w:rsid w:val="004A10F3"/>
    <w:rsid w:val="004B10DC"/>
    <w:rsid w:val="004B1D0F"/>
    <w:rsid w:val="004C0483"/>
    <w:rsid w:val="004C1518"/>
    <w:rsid w:val="004C1754"/>
    <w:rsid w:val="004C2FAD"/>
    <w:rsid w:val="004C6539"/>
    <w:rsid w:val="004C7CAE"/>
    <w:rsid w:val="004D3721"/>
    <w:rsid w:val="004D483D"/>
    <w:rsid w:val="004E09B7"/>
    <w:rsid w:val="004E2D73"/>
    <w:rsid w:val="004E2F9B"/>
    <w:rsid w:val="004E3928"/>
    <w:rsid w:val="004E7791"/>
    <w:rsid w:val="004F35CF"/>
    <w:rsid w:val="00500C07"/>
    <w:rsid w:val="00505D69"/>
    <w:rsid w:val="005163C0"/>
    <w:rsid w:val="00517908"/>
    <w:rsid w:val="00517A1F"/>
    <w:rsid w:val="00533726"/>
    <w:rsid w:val="00533F88"/>
    <w:rsid w:val="005342A4"/>
    <w:rsid w:val="005358AC"/>
    <w:rsid w:val="00550DC5"/>
    <w:rsid w:val="00567779"/>
    <w:rsid w:val="0057254F"/>
    <w:rsid w:val="00575206"/>
    <w:rsid w:val="00577EAF"/>
    <w:rsid w:val="00577F84"/>
    <w:rsid w:val="00583916"/>
    <w:rsid w:val="00584244"/>
    <w:rsid w:val="00594417"/>
    <w:rsid w:val="00594BD2"/>
    <w:rsid w:val="005A4AA5"/>
    <w:rsid w:val="005B2D23"/>
    <w:rsid w:val="005B3742"/>
    <w:rsid w:val="005B37B9"/>
    <w:rsid w:val="005B62CB"/>
    <w:rsid w:val="005B75FD"/>
    <w:rsid w:val="005C1451"/>
    <w:rsid w:val="005C2BD6"/>
    <w:rsid w:val="005C5C23"/>
    <w:rsid w:val="005C646B"/>
    <w:rsid w:val="005D2269"/>
    <w:rsid w:val="005E114F"/>
    <w:rsid w:val="005E5F9E"/>
    <w:rsid w:val="005F3D26"/>
    <w:rsid w:val="005F4BA1"/>
    <w:rsid w:val="00600DAA"/>
    <w:rsid w:val="006155B5"/>
    <w:rsid w:val="00615F30"/>
    <w:rsid w:val="0061662B"/>
    <w:rsid w:val="00622CA4"/>
    <w:rsid w:val="00626BAE"/>
    <w:rsid w:val="00626FD9"/>
    <w:rsid w:val="00632453"/>
    <w:rsid w:val="006356C9"/>
    <w:rsid w:val="00635ABE"/>
    <w:rsid w:val="00641468"/>
    <w:rsid w:val="00642F09"/>
    <w:rsid w:val="00650AE9"/>
    <w:rsid w:val="00650B6F"/>
    <w:rsid w:val="00661C07"/>
    <w:rsid w:val="006723EE"/>
    <w:rsid w:val="00672A93"/>
    <w:rsid w:val="0067390C"/>
    <w:rsid w:val="0068542F"/>
    <w:rsid w:val="00693868"/>
    <w:rsid w:val="00697BAE"/>
    <w:rsid w:val="006A3156"/>
    <w:rsid w:val="006B6A53"/>
    <w:rsid w:val="006C0DFA"/>
    <w:rsid w:val="006C2BC7"/>
    <w:rsid w:val="006C6F93"/>
    <w:rsid w:val="006D5003"/>
    <w:rsid w:val="006D7AF3"/>
    <w:rsid w:val="006E40ED"/>
    <w:rsid w:val="006E5DFC"/>
    <w:rsid w:val="006F18B7"/>
    <w:rsid w:val="006F25A8"/>
    <w:rsid w:val="00704272"/>
    <w:rsid w:val="00706AB9"/>
    <w:rsid w:val="00711053"/>
    <w:rsid w:val="00721645"/>
    <w:rsid w:val="00731637"/>
    <w:rsid w:val="00732DCB"/>
    <w:rsid w:val="00733FEF"/>
    <w:rsid w:val="00734D2F"/>
    <w:rsid w:val="0073676C"/>
    <w:rsid w:val="00741072"/>
    <w:rsid w:val="00747E8F"/>
    <w:rsid w:val="00752326"/>
    <w:rsid w:val="0075254C"/>
    <w:rsid w:val="00764401"/>
    <w:rsid w:val="00766D3B"/>
    <w:rsid w:val="007670AE"/>
    <w:rsid w:val="00773309"/>
    <w:rsid w:val="00775121"/>
    <w:rsid w:val="0078691C"/>
    <w:rsid w:val="00786984"/>
    <w:rsid w:val="0079418E"/>
    <w:rsid w:val="00794298"/>
    <w:rsid w:val="007A57D5"/>
    <w:rsid w:val="007A6A1E"/>
    <w:rsid w:val="007B4B1A"/>
    <w:rsid w:val="007C26F4"/>
    <w:rsid w:val="007C3BAD"/>
    <w:rsid w:val="007C7753"/>
    <w:rsid w:val="007D0541"/>
    <w:rsid w:val="007D3AA3"/>
    <w:rsid w:val="007D4250"/>
    <w:rsid w:val="007D494D"/>
    <w:rsid w:val="007D50E8"/>
    <w:rsid w:val="007E33B2"/>
    <w:rsid w:val="008072F6"/>
    <w:rsid w:val="008077E2"/>
    <w:rsid w:val="00807AA8"/>
    <w:rsid w:val="00812D59"/>
    <w:rsid w:val="0081397E"/>
    <w:rsid w:val="0082263B"/>
    <w:rsid w:val="00824521"/>
    <w:rsid w:val="00826652"/>
    <w:rsid w:val="00827E60"/>
    <w:rsid w:val="00830E5F"/>
    <w:rsid w:val="008456F9"/>
    <w:rsid w:val="008474C2"/>
    <w:rsid w:val="00854651"/>
    <w:rsid w:val="00856561"/>
    <w:rsid w:val="008660DC"/>
    <w:rsid w:val="00866238"/>
    <w:rsid w:val="00872AD0"/>
    <w:rsid w:val="008736C6"/>
    <w:rsid w:val="00892D7D"/>
    <w:rsid w:val="008B2010"/>
    <w:rsid w:val="008B3878"/>
    <w:rsid w:val="008B6F50"/>
    <w:rsid w:val="008B78F4"/>
    <w:rsid w:val="008C0D0A"/>
    <w:rsid w:val="008C62C9"/>
    <w:rsid w:val="008D4E30"/>
    <w:rsid w:val="008E0AFF"/>
    <w:rsid w:val="008F39ED"/>
    <w:rsid w:val="00903C4C"/>
    <w:rsid w:val="00904B7D"/>
    <w:rsid w:val="00910E4E"/>
    <w:rsid w:val="00923CAE"/>
    <w:rsid w:val="00925355"/>
    <w:rsid w:val="009272FB"/>
    <w:rsid w:val="00927CB2"/>
    <w:rsid w:val="00931653"/>
    <w:rsid w:val="009346ED"/>
    <w:rsid w:val="00937DA3"/>
    <w:rsid w:val="009412B0"/>
    <w:rsid w:val="0095331A"/>
    <w:rsid w:val="009554AF"/>
    <w:rsid w:val="00956120"/>
    <w:rsid w:val="0095671E"/>
    <w:rsid w:val="00960E31"/>
    <w:rsid w:val="009624FF"/>
    <w:rsid w:val="00965279"/>
    <w:rsid w:val="00965DC7"/>
    <w:rsid w:val="00970BC8"/>
    <w:rsid w:val="009729AB"/>
    <w:rsid w:val="009729F5"/>
    <w:rsid w:val="0098483B"/>
    <w:rsid w:val="0099249B"/>
    <w:rsid w:val="009943E8"/>
    <w:rsid w:val="009A0765"/>
    <w:rsid w:val="009A3C9A"/>
    <w:rsid w:val="009B4895"/>
    <w:rsid w:val="009D7042"/>
    <w:rsid w:val="009D78ED"/>
    <w:rsid w:val="009D7C60"/>
    <w:rsid w:val="009E2337"/>
    <w:rsid w:val="009E41F5"/>
    <w:rsid w:val="009E7431"/>
    <w:rsid w:val="009F62F0"/>
    <w:rsid w:val="009F6EF2"/>
    <w:rsid w:val="009F733A"/>
    <w:rsid w:val="00A0017D"/>
    <w:rsid w:val="00A006F8"/>
    <w:rsid w:val="00A01640"/>
    <w:rsid w:val="00A1510A"/>
    <w:rsid w:val="00A239AB"/>
    <w:rsid w:val="00A23A36"/>
    <w:rsid w:val="00A26D98"/>
    <w:rsid w:val="00A37AB0"/>
    <w:rsid w:val="00A37C68"/>
    <w:rsid w:val="00A402CA"/>
    <w:rsid w:val="00A47B1A"/>
    <w:rsid w:val="00A5116D"/>
    <w:rsid w:val="00A52257"/>
    <w:rsid w:val="00A52D24"/>
    <w:rsid w:val="00A54383"/>
    <w:rsid w:val="00A63422"/>
    <w:rsid w:val="00A63FB7"/>
    <w:rsid w:val="00A6438F"/>
    <w:rsid w:val="00A715EE"/>
    <w:rsid w:val="00A724EE"/>
    <w:rsid w:val="00A7411D"/>
    <w:rsid w:val="00A83C93"/>
    <w:rsid w:val="00A87976"/>
    <w:rsid w:val="00A905BB"/>
    <w:rsid w:val="00A929BA"/>
    <w:rsid w:val="00A92BFE"/>
    <w:rsid w:val="00A9471F"/>
    <w:rsid w:val="00A9515D"/>
    <w:rsid w:val="00A95931"/>
    <w:rsid w:val="00AA33B7"/>
    <w:rsid w:val="00AA6F12"/>
    <w:rsid w:val="00AB0423"/>
    <w:rsid w:val="00AB5216"/>
    <w:rsid w:val="00AB6A8A"/>
    <w:rsid w:val="00AC6A8B"/>
    <w:rsid w:val="00AC70D7"/>
    <w:rsid w:val="00AE3F3A"/>
    <w:rsid w:val="00AE42F4"/>
    <w:rsid w:val="00AF28BB"/>
    <w:rsid w:val="00B02909"/>
    <w:rsid w:val="00B054B3"/>
    <w:rsid w:val="00B14B42"/>
    <w:rsid w:val="00B3490D"/>
    <w:rsid w:val="00B36F02"/>
    <w:rsid w:val="00B3797C"/>
    <w:rsid w:val="00B37A70"/>
    <w:rsid w:val="00B400E9"/>
    <w:rsid w:val="00B42E01"/>
    <w:rsid w:val="00B46915"/>
    <w:rsid w:val="00B47FE1"/>
    <w:rsid w:val="00B55A28"/>
    <w:rsid w:val="00B619B5"/>
    <w:rsid w:val="00B61D5D"/>
    <w:rsid w:val="00B65651"/>
    <w:rsid w:val="00B667B7"/>
    <w:rsid w:val="00B667DB"/>
    <w:rsid w:val="00B70436"/>
    <w:rsid w:val="00B7195B"/>
    <w:rsid w:val="00B8080D"/>
    <w:rsid w:val="00BA1ECC"/>
    <w:rsid w:val="00BA3E3A"/>
    <w:rsid w:val="00BB2939"/>
    <w:rsid w:val="00BB40F7"/>
    <w:rsid w:val="00BC4E16"/>
    <w:rsid w:val="00BC5573"/>
    <w:rsid w:val="00BE785E"/>
    <w:rsid w:val="00BF757D"/>
    <w:rsid w:val="00C0102E"/>
    <w:rsid w:val="00C03DFA"/>
    <w:rsid w:val="00C067DD"/>
    <w:rsid w:val="00C26B68"/>
    <w:rsid w:val="00C31009"/>
    <w:rsid w:val="00C31E05"/>
    <w:rsid w:val="00C41EBB"/>
    <w:rsid w:val="00C441BD"/>
    <w:rsid w:val="00C44574"/>
    <w:rsid w:val="00C466C9"/>
    <w:rsid w:val="00C46E39"/>
    <w:rsid w:val="00C5439B"/>
    <w:rsid w:val="00C56782"/>
    <w:rsid w:val="00C733BD"/>
    <w:rsid w:val="00C7385A"/>
    <w:rsid w:val="00C74079"/>
    <w:rsid w:val="00C81606"/>
    <w:rsid w:val="00C82040"/>
    <w:rsid w:val="00C83F43"/>
    <w:rsid w:val="00C8649A"/>
    <w:rsid w:val="00C946DB"/>
    <w:rsid w:val="00CA2B2C"/>
    <w:rsid w:val="00CA410B"/>
    <w:rsid w:val="00CB1935"/>
    <w:rsid w:val="00CC11E8"/>
    <w:rsid w:val="00CC3041"/>
    <w:rsid w:val="00CC32CE"/>
    <w:rsid w:val="00CC4CC4"/>
    <w:rsid w:val="00CC70DA"/>
    <w:rsid w:val="00CC776C"/>
    <w:rsid w:val="00CC7E8A"/>
    <w:rsid w:val="00CD4F42"/>
    <w:rsid w:val="00CD7876"/>
    <w:rsid w:val="00CE1A0E"/>
    <w:rsid w:val="00CE57F3"/>
    <w:rsid w:val="00CF2F28"/>
    <w:rsid w:val="00CF4448"/>
    <w:rsid w:val="00CF6752"/>
    <w:rsid w:val="00D037E2"/>
    <w:rsid w:val="00D05BB3"/>
    <w:rsid w:val="00D1181E"/>
    <w:rsid w:val="00D23A4E"/>
    <w:rsid w:val="00D23B21"/>
    <w:rsid w:val="00D30BC3"/>
    <w:rsid w:val="00D348AB"/>
    <w:rsid w:val="00D356CC"/>
    <w:rsid w:val="00D4413E"/>
    <w:rsid w:val="00D44E1F"/>
    <w:rsid w:val="00D45A72"/>
    <w:rsid w:val="00D46928"/>
    <w:rsid w:val="00D5023D"/>
    <w:rsid w:val="00D51FAA"/>
    <w:rsid w:val="00D520FA"/>
    <w:rsid w:val="00D537CA"/>
    <w:rsid w:val="00D55A0A"/>
    <w:rsid w:val="00D5651A"/>
    <w:rsid w:val="00D6516C"/>
    <w:rsid w:val="00D67DE0"/>
    <w:rsid w:val="00D7034F"/>
    <w:rsid w:val="00D76703"/>
    <w:rsid w:val="00D824EC"/>
    <w:rsid w:val="00D86092"/>
    <w:rsid w:val="00D87E20"/>
    <w:rsid w:val="00DA18E1"/>
    <w:rsid w:val="00DA1DFA"/>
    <w:rsid w:val="00DB0C4F"/>
    <w:rsid w:val="00DB4D43"/>
    <w:rsid w:val="00DB63B2"/>
    <w:rsid w:val="00DB6EF1"/>
    <w:rsid w:val="00DC1F51"/>
    <w:rsid w:val="00DC782B"/>
    <w:rsid w:val="00DC7FBC"/>
    <w:rsid w:val="00DE5419"/>
    <w:rsid w:val="00DE7820"/>
    <w:rsid w:val="00E07D01"/>
    <w:rsid w:val="00E1078E"/>
    <w:rsid w:val="00E12CEC"/>
    <w:rsid w:val="00E13785"/>
    <w:rsid w:val="00E14890"/>
    <w:rsid w:val="00E17532"/>
    <w:rsid w:val="00E179DD"/>
    <w:rsid w:val="00E207C6"/>
    <w:rsid w:val="00E33AF6"/>
    <w:rsid w:val="00E33E04"/>
    <w:rsid w:val="00E44645"/>
    <w:rsid w:val="00E44E43"/>
    <w:rsid w:val="00E56005"/>
    <w:rsid w:val="00E65CAA"/>
    <w:rsid w:val="00E80F29"/>
    <w:rsid w:val="00E8413E"/>
    <w:rsid w:val="00E8463A"/>
    <w:rsid w:val="00E87A50"/>
    <w:rsid w:val="00E920BD"/>
    <w:rsid w:val="00EA0074"/>
    <w:rsid w:val="00EA1F78"/>
    <w:rsid w:val="00EA394C"/>
    <w:rsid w:val="00EC04CC"/>
    <w:rsid w:val="00EC0798"/>
    <w:rsid w:val="00EC2BA1"/>
    <w:rsid w:val="00ED0BAD"/>
    <w:rsid w:val="00ED65B9"/>
    <w:rsid w:val="00EE34AC"/>
    <w:rsid w:val="00EE4646"/>
    <w:rsid w:val="00EE4C7A"/>
    <w:rsid w:val="00EE5F86"/>
    <w:rsid w:val="00EE6119"/>
    <w:rsid w:val="00EF50B8"/>
    <w:rsid w:val="00EF66B9"/>
    <w:rsid w:val="00F0505E"/>
    <w:rsid w:val="00F2706F"/>
    <w:rsid w:val="00F32653"/>
    <w:rsid w:val="00F35A8E"/>
    <w:rsid w:val="00F3787B"/>
    <w:rsid w:val="00F3797F"/>
    <w:rsid w:val="00F453A1"/>
    <w:rsid w:val="00F45497"/>
    <w:rsid w:val="00F517BC"/>
    <w:rsid w:val="00F53F2B"/>
    <w:rsid w:val="00F568ED"/>
    <w:rsid w:val="00F60392"/>
    <w:rsid w:val="00F626D7"/>
    <w:rsid w:val="00F64BF9"/>
    <w:rsid w:val="00F71B14"/>
    <w:rsid w:val="00F76749"/>
    <w:rsid w:val="00F770C8"/>
    <w:rsid w:val="00F81027"/>
    <w:rsid w:val="00FA0527"/>
    <w:rsid w:val="00FA07D6"/>
    <w:rsid w:val="00FA3D26"/>
    <w:rsid w:val="00FA461C"/>
    <w:rsid w:val="00FA7A82"/>
    <w:rsid w:val="00FB4010"/>
    <w:rsid w:val="00FC0276"/>
    <w:rsid w:val="00FD1348"/>
    <w:rsid w:val="00FD2972"/>
    <w:rsid w:val="00FE152E"/>
    <w:rsid w:val="00FE2AF9"/>
    <w:rsid w:val="00FE2F1E"/>
    <w:rsid w:val="00FE36AC"/>
    <w:rsid w:val="00FE3D1B"/>
    <w:rsid w:val="00FE4D7B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6561"/>
    <w:pPr>
      <w:ind w:leftChars="200" w:left="480"/>
    </w:pPr>
    <w:rPr>
      <w:rFonts w:ascii="標楷體" w:eastAsia="標楷體"/>
      <w:szCs w:val="20"/>
    </w:rPr>
  </w:style>
  <w:style w:type="character" w:customStyle="1" w:styleId="a4">
    <w:name w:val="本文縮排 字元"/>
    <w:basedOn w:val="a0"/>
    <w:link w:val="a3"/>
    <w:uiPriority w:val="99"/>
    <w:rsid w:val="00856561"/>
    <w:rPr>
      <w:rFonts w:ascii="標楷體" w:eastAsia="標楷體" w:hAnsi="Times New Roman" w:cs="Times New Roman"/>
      <w:szCs w:val="20"/>
    </w:rPr>
  </w:style>
  <w:style w:type="paragraph" w:styleId="Web">
    <w:name w:val="Normal (Web)"/>
    <w:basedOn w:val="a"/>
    <w:uiPriority w:val="99"/>
    <w:rsid w:val="00856561"/>
    <w:pPr>
      <w:widowControl/>
      <w:spacing w:before="100" w:beforeAutospacing="1" w:after="100" w:afterAutospacing="1"/>
    </w:pPr>
    <w:rPr>
      <w:rFonts w:ascii="Arial Unicode MS" w:hAnsi="Arial Unicode MS" w:cs="Arial Unicode MS"/>
      <w:kern w:val="0"/>
    </w:rPr>
  </w:style>
  <w:style w:type="paragraph" w:styleId="HTML">
    <w:name w:val="HTML Preformatted"/>
    <w:basedOn w:val="a"/>
    <w:link w:val="HTML0"/>
    <w:uiPriority w:val="99"/>
    <w:unhideWhenUsed/>
    <w:rsid w:val="00BC4E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C4E16"/>
    <w:rPr>
      <w:rFonts w:ascii="細明體" w:eastAsia="細明體" w:hAnsi="細明體" w:cs="細明體"/>
      <w:kern w:val="0"/>
      <w:szCs w:val="24"/>
    </w:rPr>
  </w:style>
  <w:style w:type="character" w:styleId="a5">
    <w:name w:val="Hyperlink"/>
    <w:basedOn w:val="a0"/>
    <w:uiPriority w:val="99"/>
    <w:unhideWhenUsed/>
    <w:rsid w:val="005C2BD6"/>
    <w:rPr>
      <w:color w:val="B05A0E"/>
      <w:u w:val="single"/>
    </w:rPr>
  </w:style>
  <w:style w:type="character" w:styleId="a6">
    <w:name w:val="Strong"/>
    <w:basedOn w:val="a0"/>
    <w:uiPriority w:val="22"/>
    <w:qFormat/>
    <w:rsid w:val="005C2BD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56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5678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97107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4E09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E09B7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E09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E09B7"/>
    <w:rPr>
      <w:rFonts w:ascii="Times New Roman" w:eastAsia="新細明體" w:hAnsi="Times New Roman" w:cs="Times New Roman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D23B21"/>
    <w:rPr>
      <w:color w:val="800080" w:themeColor="followedHyperlink"/>
      <w:u w:val="single"/>
    </w:rPr>
  </w:style>
  <w:style w:type="character" w:styleId="af">
    <w:name w:val="Placeholder Text"/>
    <w:basedOn w:val="a0"/>
    <w:uiPriority w:val="99"/>
    <w:semiHidden/>
    <w:rsid w:val="00377BA6"/>
    <w:rPr>
      <w:color w:val="808080"/>
    </w:rPr>
  </w:style>
  <w:style w:type="table" w:styleId="af0">
    <w:name w:val="Table Grid"/>
    <w:basedOn w:val="a1"/>
    <w:uiPriority w:val="59"/>
    <w:rsid w:val="00BE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6C2BC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6C2BC7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6561"/>
    <w:pPr>
      <w:ind w:leftChars="200" w:left="480"/>
    </w:pPr>
    <w:rPr>
      <w:rFonts w:ascii="標楷體" w:eastAsia="標楷體"/>
      <w:szCs w:val="20"/>
    </w:rPr>
  </w:style>
  <w:style w:type="character" w:customStyle="1" w:styleId="a4">
    <w:name w:val="本文縮排 字元"/>
    <w:basedOn w:val="a0"/>
    <w:link w:val="a3"/>
    <w:uiPriority w:val="99"/>
    <w:rsid w:val="00856561"/>
    <w:rPr>
      <w:rFonts w:ascii="標楷體" w:eastAsia="標楷體" w:hAnsi="Times New Roman" w:cs="Times New Roman"/>
      <w:szCs w:val="20"/>
    </w:rPr>
  </w:style>
  <w:style w:type="paragraph" w:styleId="Web">
    <w:name w:val="Normal (Web)"/>
    <w:basedOn w:val="a"/>
    <w:uiPriority w:val="99"/>
    <w:rsid w:val="00856561"/>
    <w:pPr>
      <w:widowControl/>
      <w:spacing w:before="100" w:beforeAutospacing="1" w:after="100" w:afterAutospacing="1"/>
    </w:pPr>
    <w:rPr>
      <w:rFonts w:ascii="Arial Unicode MS" w:hAnsi="Arial Unicode MS" w:cs="Arial Unicode MS"/>
      <w:kern w:val="0"/>
    </w:rPr>
  </w:style>
  <w:style w:type="paragraph" w:styleId="HTML">
    <w:name w:val="HTML Preformatted"/>
    <w:basedOn w:val="a"/>
    <w:link w:val="HTML0"/>
    <w:uiPriority w:val="99"/>
    <w:unhideWhenUsed/>
    <w:rsid w:val="00BC4E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C4E16"/>
    <w:rPr>
      <w:rFonts w:ascii="細明體" w:eastAsia="細明體" w:hAnsi="細明體" w:cs="細明體"/>
      <w:kern w:val="0"/>
      <w:szCs w:val="24"/>
    </w:rPr>
  </w:style>
  <w:style w:type="character" w:styleId="a5">
    <w:name w:val="Hyperlink"/>
    <w:basedOn w:val="a0"/>
    <w:uiPriority w:val="99"/>
    <w:unhideWhenUsed/>
    <w:rsid w:val="005C2BD6"/>
    <w:rPr>
      <w:color w:val="B05A0E"/>
      <w:u w:val="single"/>
    </w:rPr>
  </w:style>
  <w:style w:type="character" w:styleId="a6">
    <w:name w:val="Strong"/>
    <w:basedOn w:val="a0"/>
    <w:uiPriority w:val="22"/>
    <w:qFormat/>
    <w:rsid w:val="005C2BD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567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5678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97107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4E09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E09B7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E09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E09B7"/>
    <w:rPr>
      <w:rFonts w:ascii="Times New Roman" w:eastAsia="新細明體" w:hAnsi="Times New Roman" w:cs="Times New Roman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D23B21"/>
    <w:rPr>
      <w:color w:val="800080" w:themeColor="followedHyperlink"/>
      <w:u w:val="single"/>
    </w:rPr>
  </w:style>
  <w:style w:type="character" w:styleId="af">
    <w:name w:val="Placeholder Text"/>
    <w:basedOn w:val="a0"/>
    <w:uiPriority w:val="99"/>
    <w:semiHidden/>
    <w:rsid w:val="00377BA6"/>
    <w:rPr>
      <w:color w:val="808080"/>
    </w:rPr>
  </w:style>
  <w:style w:type="table" w:styleId="af0">
    <w:name w:val="Table Grid"/>
    <w:basedOn w:val="a1"/>
    <w:uiPriority w:val="59"/>
    <w:rsid w:val="00BE78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6C2BC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6C2BC7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41547">
                          <w:marLeft w:val="0"/>
                          <w:marRight w:val="2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2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32551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393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4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'[農戶交叉動態查詢.xlsx]教育程度 性別'!$H$14</c:f>
              <c:strCache>
                <c:ptCount val="1"/>
                <c:pt idx="0">
                  <c:v>男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ea typeface="標楷體" panose="03000509000000000000" pitchFamily="65" charset="-120"/>
                    <a:cs typeface="Times New Roman" panose="02020603050405020304" pitchFamily="18" charset="0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</c:dLbls>
          <c:cat>
            <c:strRef>
              <c:f>'[農戶交叉動態查詢.xlsx]教育程度 性別'!$F$15:$F$18</c:f>
              <c:strCache>
                <c:ptCount val="4"/>
                <c:pt idx="0">
                  <c:v>小學及以下</c:v>
                </c:pt>
                <c:pt idx="1">
                  <c:v>國(初)中</c:v>
                </c:pt>
                <c:pt idx="2">
                  <c:v>高中(職)</c:v>
                </c:pt>
                <c:pt idx="3">
                  <c:v>大學(專)及以上</c:v>
                </c:pt>
              </c:strCache>
            </c:strRef>
          </c:cat>
          <c:val>
            <c:numRef>
              <c:f>'[農戶交叉動態查詢.xlsx]教育程度 性別'!$H$15:$H$18</c:f>
              <c:numCache>
                <c:formatCode>#,##0</c:formatCode>
                <c:ptCount val="4"/>
                <c:pt idx="0">
                  <c:v>1637</c:v>
                </c:pt>
                <c:pt idx="1">
                  <c:v>1254</c:v>
                </c:pt>
                <c:pt idx="2">
                  <c:v>2155</c:v>
                </c:pt>
                <c:pt idx="3">
                  <c:v>881</c:v>
                </c:pt>
              </c:numCache>
            </c:numRef>
          </c:val>
        </c:ser>
        <c:ser>
          <c:idx val="1"/>
          <c:order val="1"/>
          <c:tx>
            <c:strRef>
              <c:f>'[農戶交叉動態查詢.xlsx]教育程度 性別'!$I$14</c:f>
              <c:strCache>
                <c:ptCount val="1"/>
                <c:pt idx="0">
                  <c:v>女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6045807649876659E-2"/>
                  <c:y val="0"/>
                </c:manualLayout>
              </c:layout>
              <c:showLegendKey val="0"/>
              <c:showVal val="1"/>
              <c:showCatName val="0"/>
              <c:showSerName val="1"/>
              <c:showPercent val="0"/>
              <c:showBubbleSize val="0"/>
            </c:dLbl>
            <c:dLbl>
              <c:idx val="1"/>
              <c:layout>
                <c:manualLayout>
                  <c:x val="3.6045807649876707E-2"/>
                  <c:y val="0"/>
                </c:manualLayout>
              </c:layout>
              <c:showLegendKey val="0"/>
              <c:showVal val="1"/>
              <c:showCatName val="0"/>
              <c:showSerName val="1"/>
              <c:showPercent val="0"/>
              <c:showBubbleSize val="0"/>
            </c:dLbl>
            <c:dLbl>
              <c:idx val="2"/>
              <c:layout>
                <c:manualLayout>
                  <c:x val="3.3273053215270756E-2"/>
                  <c:y val="0"/>
                </c:manualLayout>
              </c:layout>
              <c:showLegendKey val="0"/>
              <c:showVal val="1"/>
              <c:showCatName val="0"/>
              <c:showSerName val="1"/>
              <c:showPercent val="0"/>
              <c:showBubbleSize val="0"/>
            </c:dLbl>
            <c:dLbl>
              <c:idx val="3"/>
              <c:layout>
                <c:manualLayout>
                  <c:x val="2.7727544346058966E-2"/>
                  <c:y val="0"/>
                </c:manualLayout>
              </c:layout>
              <c:showLegendKey val="0"/>
              <c:showVal val="1"/>
              <c:showCatName val="0"/>
              <c:showSerName val="1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ea typeface="標楷體" panose="03000509000000000000" pitchFamily="65" charset="-120"/>
                    <a:cs typeface="Times New Roman" panose="02020603050405020304" pitchFamily="18" charset="0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</c:dLbls>
          <c:cat>
            <c:strRef>
              <c:f>'[農戶交叉動態查詢.xlsx]教育程度 性別'!$F$15:$F$18</c:f>
              <c:strCache>
                <c:ptCount val="4"/>
                <c:pt idx="0">
                  <c:v>小學及以下</c:v>
                </c:pt>
                <c:pt idx="1">
                  <c:v>國(初)中</c:v>
                </c:pt>
                <c:pt idx="2">
                  <c:v>高中(職)</c:v>
                </c:pt>
                <c:pt idx="3">
                  <c:v>大學(專)及以上</c:v>
                </c:pt>
              </c:strCache>
            </c:strRef>
          </c:cat>
          <c:val>
            <c:numRef>
              <c:f>'[農戶交叉動態查詢.xlsx]教育程度 性別'!$I$15:$I$18</c:f>
              <c:numCache>
                <c:formatCode>#,##0</c:formatCode>
                <c:ptCount val="4"/>
                <c:pt idx="0">
                  <c:v>276</c:v>
                </c:pt>
                <c:pt idx="1">
                  <c:v>135</c:v>
                </c:pt>
                <c:pt idx="2">
                  <c:v>198</c:v>
                </c:pt>
                <c:pt idx="3">
                  <c:v>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27862016"/>
        <c:axId val="227863552"/>
        <c:axId val="0"/>
      </c:bar3DChart>
      <c:catAx>
        <c:axId val="22786201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標楷體" panose="03000509000000000000" pitchFamily="65" charset="-120"/>
                <a:ea typeface="標楷體" panose="03000509000000000000" pitchFamily="65" charset="-120"/>
              </a:defRPr>
            </a:pPr>
            <a:endParaRPr lang="zh-TW"/>
          </a:p>
        </c:txPr>
        <c:crossAx val="227863552"/>
        <c:crosses val="autoZero"/>
        <c:auto val="1"/>
        <c:lblAlgn val="ctr"/>
        <c:lblOffset val="100"/>
        <c:noMultiLvlLbl val="0"/>
      </c:catAx>
      <c:valAx>
        <c:axId val="227863552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22786201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0.03463</cdr:x>
      <cdr:y>0.00499</cdr:y>
    </cdr:from>
    <cdr:to>
      <cdr:x>0.11781</cdr:x>
      <cdr:y>0.11696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158613" y="13666"/>
          <a:ext cx="381000" cy="30645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人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459F0-61FC-455E-A5C0-C4BE4B6A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調查統計科鄭大偉</dc:creator>
  <cp:lastModifiedBy>調查統計科杜佩芬</cp:lastModifiedBy>
  <cp:revision>2</cp:revision>
  <cp:lastPrinted>2018-09-25T03:18:00Z</cp:lastPrinted>
  <dcterms:created xsi:type="dcterms:W3CDTF">2020-07-16T07:20:00Z</dcterms:created>
  <dcterms:modified xsi:type="dcterms:W3CDTF">2020-07-16T07:20:00Z</dcterms:modified>
</cp:coreProperties>
</file>