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DBC" w:rsidRDefault="00E0549B" w:rsidP="00EC7C8A">
      <w:pPr>
        <w:pStyle w:val="Web"/>
        <w:spacing w:beforeLines="1" w:before="2" w:beforeAutospacing="0" w:after="0" w:afterAutospacing="0" w:line="480" w:lineRule="exact"/>
        <w:divId w:val="1944603542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貳、年度關鍵績效</w:t>
      </w: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指標</w:t>
      </w:r>
    </w:p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"/>
        <w:gridCol w:w="1136"/>
        <w:gridCol w:w="225"/>
        <w:gridCol w:w="1316"/>
        <w:gridCol w:w="531"/>
        <w:gridCol w:w="575"/>
        <w:gridCol w:w="2112"/>
        <w:gridCol w:w="1381"/>
        <w:gridCol w:w="795"/>
      </w:tblGrid>
      <w:tr w:rsidR="003A3DBC" w:rsidTr="000B4549">
        <w:trPr>
          <w:divId w:val="1944603542"/>
          <w:tblHeader/>
        </w:trPr>
        <w:tc>
          <w:tcPr>
            <w:tcW w:w="837" w:type="pct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關鍵策略目標</w:t>
            </w:r>
          </w:p>
        </w:tc>
        <w:tc>
          <w:tcPr>
            <w:tcW w:w="0" w:type="auto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關鍵績效指標</w:t>
            </w:r>
          </w:p>
        </w:tc>
      </w:tr>
      <w:tr w:rsidR="000B4549" w:rsidTr="000B4549">
        <w:trPr>
          <w:divId w:val="1944603542"/>
          <w:tblHeader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92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關鍵績效指標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評估</w:t>
            </w:r>
            <w:r>
              <w:rPr>
                <w:rFonts w:hint="eastAsia"/>
              </w:rPr>
              <w:br/>
              <w:t>體制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評估</w:t>
            </w:r>
            <w:r>
              <w:rPr>
                <w:rFonts w:hint="eastAsia"/>
              </w:rPr>
              <w:br/>
              <w:t>方式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衡量標準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年度目標值</w:t>
            </w:r>
          </w:p>
        </w:tc>
        <w:tc>
          <w:tcPr>
            <w:tcW w:w="4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與中長程個案計畫關聯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proofErr w:type="gramStart"/>
            <w:r>
              <w:rPr>
                <w:rFonts w:hint="eastAsia"/>
              </w:rPr>
              <w:t>一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72F14">
            <w:pPr>
              <w:wordWrap w:val="0"/>
              <w:spacing w:line="316" w:lineRule="exact"/>
              <w:jc w:val="both"/>
            </w:pPr>
            <w:r>
              <w:rPr>
                <w:rFonts w:hint="eastAsia"/>
              </w:rPr>
              <w:t>提升產業競爭力，引領臺灣農業國際化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72F14">
            <w:pPr>
              <w:wordWrap w:val="0"/>
              <w:spacing w:line="316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72F14">
            <w:pPr>
              <w:wordWrap w:val="0"/>
              <w:spacing w:line="316" w:lineRule="exact"/>
              <w:jc w:val="both"/>
            </w:pPr>
            <w:r>
              <w:rPr>
                <w:rFonts w:hint="eastAsia"/>
              </w:rPr>
              <w:t>提升卓越農業產值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72F14">
            <w:pPr>
              <w:wordWrap w:val="0"/>
              <w:spacing w:line="316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72F14">
            <w:pPr>
              <w:wordWrap w:val="0"/>
              <w:spacing w:line="316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97343" w:rsidRDefault="00A97343" w:rsidP="00872F14">
            <w:pPr>
              <w:pStyle w:val="Web"/>
              <w:wordWrap w:val="0"/>
              <w:spacing w:before="0" w:beforeAutospacing="0" w:after="0" w:afterAutospacing="0" w:line="316" w:lineRule="exact"/>
            </w:pPr>
            <w:r>
              <w:rPr>
                <w:rFonts w:hint="eastAsia"/>
              </w:rPr>
              <w:t>蘭花58億元、精品名茶28億元、種苗88億元、種畜禽（種豬）20億元、觀賞水族48億元、石斑魚76億元，以及農科園區之生技業75億元（包括天然物、水產養殖生技、生物性農業資材、禽畜生技、生技檢測及代工服務、節能環控農業設施）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72F14">
            <w:pPr>
              <w:wordWrap w:val="0"/>
              <w:spacing w:line="316" w:lineRule="exact"/>
              <w:jc w:val="center"/>
            </w:pPr>
            <w:r>
              <w:rPr>
                <w:rFonts w:hint="eastAsia"/>
              </w:rPr>
              <w:t>3</w:t>
            </w:r>
            <w:r w:rsidR="00315E49">
              <w:rPr>
                <w:rFonts w:hint="eastAsia"/>
              </w:rPr>
              <w:t>93</w:t>
            </w:r>
            <w:r>
              <w:rPr>
                <w:rFonts w:hint="eastAsia"/>
              </w:rPr>
              <w:t>億元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72F14">
            <w:pPr>
              <w:wordWrap w:val="0"/>
              <w:spacing w:line="316" w:lineRule="exact"/>
              <w:jc w:val="both"/>
            </w:pPr>
            <w:r>
              <w:rPr>
                <w:rFonts w:hint="eastAsia"/>
              </w:rPr>
              <w:t>公共建設/科技發展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提升卓越農業之核發植物品種權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核發植物品種權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80件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科技發展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提升卓越漁業技術之量能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提供水產養殖、設施、飼料及觀賞魚等育苗、養殖生產技術諮詢之服務人數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  <w:r w:rsidR="00872F14">
              <w:rPr>
                <w:rFonts w:hint="eastAsia"/>
              </w:rPr>
              <w:t>,</w:t>
            </w:r>
            <w:r>
              <w:rPr>
                <w:rFonts w:hint="eastAsia"/>
              </w:rPr>
              <w:t>000人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提升外銷中國大陸生鮮水果出口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外銷中國大陸生鮮水果出口年增值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  <w:r w:rsidR="00872F14">
              <w:rPr>
                <w:rFonts w:hint="eastAsia"/>
              </w:rPr>
              <w:t>,</w:t>
            </w:r>
            <w:r>
              <w:rPr>
                <w:rFonts w:hint="eastAsia"/>
              </w:rPr>
              <w:t>000萬美元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發展休閒農業，開拓國外市場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參與休閒農業旅遊之國外遊客較前一年度成長率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20%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公共建設/科技發展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農業技術移轉及智慧財產權保護成效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年度技轉金額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7</w:t>
            </w:r>
            <w:r w:rsidR="00872F14">
              <w:rPr>
                <w:rFonts w:hint="eastAsia"/>
              </w:rPr>
              <w:t>,</w:t>
            </w:r>
            <w:r>
              <w:rPr>
                <w:rFonts w:hint="eastAsia"/>
              </w:rPr>
              <w:t>900萬元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科技發展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調整農業結構，整合資源加值發展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農村再生社區整體環境品質改善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農村建設資源投入改善或提升農村再生社區整體環境品質之面積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4</w:t>
            </w:r>
            <w:r w:rsidR="00872F14">
              <w:rPr>
                <w:rFonts w:hint="eastAsia"/>
              </w:rPr>
              <w:t>,</w:t>
            </w:r>
            <w:r>
              <w:rPr>
                <w:rFonts w:hint="eastAsia"/>
              </w:rPr>
              <w:t>400公頃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公共建設</w:t>
            </w:r>
          </w:p>
        </w:tc>
      </w:tr>
      <w:tr w:rsidR="000B4549" w:rsidTr="005B447E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single" w:sz="8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90" w:type="pct"/>
            <w:tcBorders>
              <w:top w:val="single" w:sz="8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青年農民穩健經營與加值發展</w:t>
            </w:r>
          </w:p>
        </w:tc>
        <w:tc>
          <w:tcPr>
            <w:tcW w:w="319" w:type="pct"/>
            <w:tcBorders>
              <w:top w:val="single" w:sz="8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single" w:sz="8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single" w:sz="8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青年農民穩健經營與加值發展人數</w:t>
            </w:r>
          </w:p>
        </w:tc>
        <w:tc>
          <w:tcPr>
            <w:tcW w:w="829" w:type="pct"/>
            <w:tcBorders>
              <w:top w:val="single" w:sz="8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  <w:r w:rsidR="00872F14">
              <w:rPr>
                <w:rFonts w:hint="eastAsia"/>
              </w:rPr>
              <w:t>,</w:t>
            </w:r>
            <w:r>
              <w:rPr>
                <w:rFonts w:hint="eastAsia"/>
              </w:rPr>
              <w:t>500人</w:t>
            </w:r>
          </w:p>
        </w:tc>
        <w:tc>
          <w:tcPr>
            <w:tcW w:w="0" w:type="auto"/>
            <w:tcBorders>
              <w:top w:val="single" w:sz="8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科技發展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輔導作物集團產區及擴大經營規模面積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累計輔導優質水果（含供果園及香蕉外銷集團產區）、蔬菜、花卉集團產區、小地主大專業農承租面積及農產業專區實施面積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32</w:t>
            </w:r>
            <w:r w:rsidR="00872F14">
              <w:rPr>
                <w:rFonts w:hint="eastAsia"/>
              </w:rPr>
              <w:t>,</w:t>
            </w:r>
            <w:r>
              <w:rPr>
                <w:rFonts w:hint="eastAsia"/>
              </w:rPr>
              <w:t>800公頃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公共建設/科技發展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確保糧食安全，加強農產品安全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健康農業推廣面積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累計通過有機、產銷履歷及吉園圃之生產面積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44</w:t>
            </w:r>
            <w:r w:rsidR="00872F14">
              <w:rPr>
                <w:rFonts w:hint="eastAsia"/>
              </w:rPr>
              <w:t>,</w:t>
            </w:r>
            <w:r>
              <w:rPr>
                <w:rFonts w:hint="eastAsia"/>
              </w:rPr>
              <w:t>500公頃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公共建設/科技發展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推動生產追溯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新興推動生產追溯之生產面積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22</w:t>
            </w:r>
            <w:r w:rsidR="00872F14">
              <w:rPr>
                <w:rFonts w:hint="eastAsia"/>
              </w:rPr>
              <w:t>,</w:t>
            </w:r>
            <w:r>
              <w:rPr>
                <w:rFonts w:hint="eastAsia"/>
              </w:rPr>
              <w:t>257公頃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穩定安全存糧標準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pStyle w:val="Web"/>
              <w:spacing w:before="0" w:beforeAutospacing="0" w:after="0" w:afterAutospacing="0" w:line="312" w:lineRule="exact"/>
            </w:pPr>
            <w:r>
              <w:rPr>
                <w:rFonts w:hint="eastAsia"/>
              </w:rPr>
              <w:t>年度公糧庫存數量超出安全存糧標準（30萬公噸糙米量）之百分比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166</w:t>
            </w:r>
            <w:r w:rsidR="001534F3">
              <w:rPr>
                <w:rFonts w:hint="eastAsia"/>
              </w:rPr>
              <w:t>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重要動植物</w:t>
            </w:r>
            <w:proofErr w:type="gramStart"/>
            <w:r>
              <w:rPr>
                <w:rFonts w:hint="eastAsia"/>
              </w:rPr>
              <w:t>疫</w:t>
            </w:r>
            <w:proofErr w:type="gramEnd"/>
            <w:r>
              <w:rPr>
                <w:rFonts w:hint="eastAsia"/>
              </w:rPr>
              <w:t>情監測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pStyle w:val="Web"/>
              <w:spacing w:before="0" w:beforeAutospacing="0" w:after="0" w:afterAutospacing="0" w:line="312" w:lineRule="exact"/>
            </w:pPr>
            <w:r>
              <w:rPr>
                <w:rFonts w:hint="eastAsia"/>
              </w:rPr>
              <w:t>動物重要傳染病如家禽流行性感冒、狂犬病、狂牛病、口蹄</w:t>
            </w:r>
            <w:proofErr w:type="gramStart"/>
            <w:r>
              <w:rPr>
                <w:rFonts w:hint="eastAsia"/>
              </w:rPr>
              <w:t>疫</w:t>
            </w:r>
            <w:proofErr w:type="gramEnd"/>
            <w:r>
              <w:rPr>
                <w:rFonts w:hint="eastAsia"/>
              </w:rPr>
              <w:t>，以及植物重大疫病蟲害如東方果實蠅、斜紋夜蛾、水稻稻熱病、水稻白</w:t>
            </w:r>
            <w:proofErr w:type="gramStart"/>
            <w:r>
              <w:rPr>
                <w:rFonts w:hint="eastAsia"/>
              </w:rPr>
              <w:t>葉枯病</w:t>
            </w:r>
            <w:proofErr w:type="gramEnd"/>
            <w:r>
              <w:rPr>
                <w:rFonts w:hint="eastAsia"/>
              </w:rPr>
              <w:t>等監測數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4</w:t>
            </w:r>
            <w:r w:rsidR="00872F14">
              <w:rPr>
                <w:rFonts w:hint="eastAsia"/>
              </w:rPr>
              <w:t>,</w:t>
            </w:r>
            <w:r>
              <w:rPr>
                <w:rFonts w:hint="eastAsia"/>
              </w:rPr>
              <w:t>088次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科技發展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辦理CAS驗證產品查核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pStyle w:val="Web"/>
              <w:spacing w:before="0" w:beforeAutospacing="0" w:after="0" w:afterAutospacing="0" w:line="312" w:lineRule="exact"/>
            </w:pPr>
            <w:r>
              <w:rPr>
                <w:rFonts w:hint="eastAsia"/>
              </w:rPr>
              <w:t>CAS驗證產品抽驗衛生安全合格率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99%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公共建設/科技發展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健康農業農藥殘留抽驗合格率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pStyle w:val="Web"/>
              <w:spacing w:before="0" w:beforeAutospacing="0" w:after="0" w:afterAutospacing="0" w:line="312" w:lineRule="exact"/>
            </w:pPr>
            <w:r>
              <w:rPr>
                <w:rFonts w:hint="eastAsia"/>
              </w:rPr>
              <w:t>推動有機、產銷履歷及吉園圃之農藥殘留抽驗合格率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97.5%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公共建設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農藥延伸使用範圍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pStyle w:val="Web"/>
              <w:spacing w:before="0" w:beforeAutospacing="0" w:after="0" w:afterAutospacing="0" w:line="312" w:lineRule="exact"/>
            </w:pPr>
            <w:r>
              <w:rPr>
                <w:rFonts w:hint="eastAsia"/>
              </w:rPr>
              <w:t>農藥延伸使用範圍之項數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400項次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屠宰衛生檢查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pStyle w:val="Web"/>
              <w:spacing w:before="0" w:beforeAutospacing="0" w:after="0" w:afterAutospacing="0" w:line="312" w:lineRule="exact"/>
            </w:pPr>
            <w:r>
              <w:rPr>
                <w:rFonts w:hint="eastAsia"/>
              </w:rPr>
              <w:t>屠宰衛生檢查綜合績效包括：（1）派</w:t>
            </w:r>
            <w:r>
              <w:rPr>
                <w:rFonts w:hint="eastAsia"/>
              </w:rPr>
              <w:lastRenderedPageBreak/>
              <w:t>有屠宰衛生檢查人員之屠宰場占運行中屠宰場總數之比率（比重占40%）。（2）訓練合格屠宰衛生檢查人員</w:t>
            </w:r>
            <w:r w:rsidRPr="000B1968">
              <w:rPr>
                <w:rFonts w:hint="eastAsia"/>
                <w:spacing w:val="-4"/>
              </w:rPr>
              <w:t>比率（比重占10%）。</w:t>
            </w:r>
            <w:r>
              <w:rPr>
                <w:rFonts w:hint="eastAsia"/>
              </w:rPr>
              <w:t>（3）符合檢查品質要求比率（比重占25%</w:t>
            </w:r>
            <w:r w:rsidRPr="000B1968">
              <w:rPr>
                <w:rFonts w:hint="eastAsia"/>
                <w:spacing w:val="-8"/>
              </w:rPr>
              <w:t>）。（4）</w:t>
            </w:r>
            <w:r w:rsidRPr="000B1968">
              <w:rPr>
                <w:rFonts w:hint="eastAsia"/>
                <w:spacing w:val="-4"/>
              </w:rPr>
              <w:t>屠宰場符</w:t>
            </w:r>
            <w:r w:rsidRPr="000B1968">
              <w:rPr>
                <w:rFonts w:hint="eastAsia"/>
              </w:rPr>
              <w:t>合軟、硬體規範之</w:t>
            </w:r>
            <w:r w:rsidRPr="000B1968">
              <w:rPr>
                <w:rFonts w:hint="eastAsia"/>
                <w:spacing w:val="-4"/>
              </w:rPr>
              <w:t>比率（</w:t>
            </w:r>
            <w:r w:rsidRPr="000B1968">
              <w:rPr>
                <w:rFonts w:hint="eastAsia"/>
              </w:rPr>
              <w:t>比重占</w:t>
            </w:r>
            <w:r w:rsidRPr="000B1968">
              <w:rPr>
                <w:rFonts w:hint="eastAsia"/>
                <w:spacing w:val="-4"/>
              </w:rPr>
              <w:t>25%）。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lastRenderedPageBreak/>
              <w:t>80%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lastRenderedPageBreak/>
              <w:t>四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活化農業資源利用，維護生態永續發展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活化休耕地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pStyle w:val="Web"/>
              <w:spacing w:before="0" w:beforeAutospacing="0" w:after="0" w:afterAutospacing="0" w:line="312" w:lineRule="exact"/>
            </w:pPr>
            <w:r>
              <w:rPr>
                <w:rFonts w:hint="eastAsia"/>
              </w:rPr>
              <w:t>活化休耕地鼓勵</w:t>
            </w:r>
            <w:proofErr w:type="gramStart"/>
            <w:r>
              <w:rPr>
                <w:rFonts w:hint="eastAsia"/>
              </w:rPr>
              <w:t>契</w:t>
            </w:r>
            <w:proofErr w:type="gramEnd"/>
            <w:r>
              <w:rPr>
                <w:rFonts w:hint="eastAsia"/>
              </w:rPr>
              <w:t>作進口替代、具外銷潛力作物及轉作地區特產作物之面積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1379F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114</w:t>
            </w:r>
            <w:r w:rsidR="008F70F4">
              <w:rPr>
                <w:rFonts w:hint="eastAsia"/>
              </w:rPr>
              <w:t>,</w:t>
            </w:r>
            <w:r>
              <w:rPr>
                <w:rFonts w:hint="eastAsia"/>
              </w:rPr>
              <w:t>000</w:t>
            </w:r>
          </w:p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公頃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科技發展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農業用水節水量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pStyle w:val="Web"/>
              <w:spacing w:before="0" w:beforeAutospacing="0" w:after="0" w:afterAutospacing="0" w:line="312" w:lineRule="exact"/>
            </w:pPr>
            <w:r>
              <w:rPr>
                <w:rFonts w:hint="eastAsia"/>
              </w:rPr>
              <w:t>累計節省灌溉用水水量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3</w:t>
            </w:r>
            <w:r w:rsidR="008F70F4">
              <w:rPr>
                <w:rFonts w:hint="eastAsia"/>
              </w:rPr>
              <w:t>,</w:t>
            </w:r>
            <w:r>
              <w:rPr>
                <w:rFonts w:hint="eastAsia"/>
              </w:rPr>
              <w:t>880萬立方公尺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公共建設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畜牧廢水污染削減量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pStyle w:val="Web"/>
              <w:spacing w:before="0" w:beforeAutospacing="0" w:after="0" w:afterAutospacing="0" w:line="312" w:lineRule="exact"/>
            </w:pPr>
            <w:r>
              <w:rPr>
                <w:rFonts w:hint="eastAsia"/>
              </w:rPr>
              <w:t>畜牧廢水污染削減率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center"/>
            </w:pPr>
            <w:r>
              <w:rPr>
                <w:rFonts w:hint="eastAsia"/>
              </w:rPr>
              <w:t>87.5%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8F70F4">
            <w:pPr>
              <w:spacing w:line="312" w:lineRule="exact"/>
              <w:jc w:val="both"/>
            </w:pPr>
            <w:r>
              <w:rPr>
                <w:rFonts w:hint="eastAsia"/>
              </w:rPr>
              <w:t>社會發展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推動植樹造林面積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平地、山坡地、劣化地及環境敏感地區等國有林地、海岸林及離島造林等新植及撫育面積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48</w:t>
            </w:r>
            <w:r w:rsidR="00FE1326">
              <w:rPr>
                <w:rFonts w:hint="eastAsia"/>
              </w:rPr>
              <w:t>,</w:t>
            </w:r>
            <w:r>
              <w:rPr>
                <w:rFonts w:hint="eastAsia"/>
              </w:rPr>
              <w:t>900公頃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公共建設/科技發展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參與自然教育解說服務人次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參加自然教育活動或解說服務人次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27萬人次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公共建設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農路設施改善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農路改善之受益面積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4</w:t>
            </w:r>
            <w:r w:rsidR="00FE1326">
              <w:rPr>
                <w:rFonts w:hint="eastAsia"/>
              </w:rPr>
              <w:t>,</w:t>
            </w:r>
            <w:r>
              <w:rPr>
                <w:rFonts w:hint="eastAsia"/>
              </w:rPr>
              <w:t>700公頃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公共建設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水土資源保育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治山防災之受益面積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65</w:t>
            </w:r>
            <w:r w:rsidR="00FE1326">
              <w:rPr>
                <w:rFonts w:hint="eastAsia"/>
              </w:rPr>
              <w:t>,</w:t>
            </w:r>
            <w:r>
              <w:rPr>
                <w:rFonts w:hint="eastAsia"/>
              </w:rPr>
              <w:t>000公頃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公共建設/科技發展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落實漁業監控管制偵查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漁業之監控、管制及調查漁獲資料查</w:t>
            </w:r>
            <w:r>
              <w:rPr>
                <w:rFonts w:hint="eastAsia"/>
              </w:rPr>
              <w:lastRenderedPageBreak/>
              <w:t>報筆數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lastRenderedPageBreak/>
              <w:t>5.3萬筆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社會發展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lastRenderedPageBreak/>
              <w:t>五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強化農民組織，照顧農民福祉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輔導農民團體結合農村社區創新經濟事業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輔導創新經濟事業產值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8</w:t>
            </w:r>
            <w:r w:rsidR="00FE1326">
              <w:rPr>
                <w:rFonts w:hint="eastAsia"/>
              </w:rPr>
              <w:t>,</w:t>
            </w:r>
            <w:r>
              <w:rPr>
                <w:rFonts w:hint="eastAsia"/>
              </w:rPr>
              <w:t>000萬元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農業信用保證基金保證貸款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農業信用保證基金保證貸款金額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156億元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辦理政策性農業專案貸款額度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政策性農業專案貸款金額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200億元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辦理政策性農業專案貸款利息差額補貼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農業發展基金貸款利息差額補貼執行率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82%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辦理豬隻死亡保險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proofErr w:type="gramStart"/>
            <w:r>
              <w:rPr>
                <w:rFonts w:hint="eastAsia"/>
              </w:rPr>
              <w:t>豬隻承保</w:t>
            </w:r>
            <w:proofErr w:type="gramEnd"/>
            <w:r>
              <w:rPr>
                <w:rFonts w:hint="eastAsia"/>
              </w:rPr>
              <w:t>比率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70%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六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both"/>
            </w:pPr>
            <w:r>
              <w:rPr>
                <w:rFonts w:hint="eastAsia"/>
              </w:rPr>
              <w:t>提升動物福利，促進友善動物社會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EF6CBA">
            <w:pPr>
              <w:spacing w:line="318" w:lineRule="exact"/>
              <w:jc w:val="both"/>
            </w:pPr>
            <w:r>
              <w:rPr>
                <w:rFonts w:hint="eastAsia"/>
              </w:rPr>
              <w:t>提升收容動物</w:t>
            </w:r>
            <w:proofErr w:type="gramStart"/>
            <w:r w:rsidR="00C94FAB">
              <w:rPr>
                <w:rFonts w:hint="eastAsia"/>
              </w:rPr>
              <w:t>認</w:t>
            </w:r>
            <w:r w:rsidR="00EF6CBA">
              <w:rPr>
                <w:rFonts w:hint="eastAsia"/>
              </w:rPr>
              <w:t>領</w:t>
            </w:r>
            <w:r>
              <w:rPr>
                <w:rFonts w:hint="eastAsia"/>
              </w:rPr>
              <w:t>養率</w:t>
            </w:r>
            <w:proofErr w:type="gramEnd"/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pStyle w:val="Web"/>
              <w:spacing w:before="0" w:beforeAutospacing="0" w:after="0" w:afterAutospacing="0" w:line="318" w:lineRule="exact"/>
            </w:pPr>
            <w:r>
              <w:rPr>
                <w:rFonts w:hint="eastAsia"/>
              </w:rPr>
              <w:t>全國公立動物收容所動物</w:t>
            </w:r>
            <w:proofErr w:type="gramStart"/>
            <w:r w:rsidR="00C94FAB">
              <w:rPr>
                <w:rFonts w:hint="eastAsia"/>
              </w:rPr>
              <w:t>認</w:t>
            </w:r>
            <w:r w:rsidR="00EF6CBA">
              <w:rPr>
                <w:rFonts w:hint="eastAsia"/>
              </w:rPr>
              <w:t>領</w:t>
            </w:r>
            <w:r>
              <w:rPr>
                <w:rFonts w:hint="eastAsia"/>
              </w:rPr>
              <w:t>養率</w:t>
            </w:r>
            <w:proofErr w:type="gramEnd"/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70%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both"/>
            </w:pPr>
            <w:r>
              <w:rPr>
                <w:rFonts w:hint="eastAsia"/>
              </w:rPr>
              <w:t>公共建設/社會發展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 w:rsidP="005E469B">
            <w:pPr>
              <w:spacing w:line="318" w:lineRule="exact"/>
            </w:pP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both"/>
            </w:pPr>
            <w:r>
              <w:rPr>
                <w:rFonts w:hint="eastAsia"/>
              </w:rPr>
              <w:t>野生動物處理救助隻數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pStyle w:val="Web"/>
              <w:spacing w:before="0" w:beforeAutospacing="0" w:after="0" w:afterAutospacing="0" w:line="318" w:lineRule="exact"/>
            </w:pPr>
            <w:r>
              <w:rPr>
                <w:rFonts w:hint="eastAsia"/>
              </w:rPr>
              <w:t>串連政府與民間力量，處理受傷、棄養、危害人畜安全及違法沒入之野生動物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6</w:t>
            </w:r>
            <w:r w:rsidR="00FE1326">
              <w:rPr>
                <w:rFonts w:hint="eastAsia"/>
              </w:rPr>
              <w:t>,</w:t>
            </w:r>
            <w:r>
              <w:rPr>
                <w:rFonts w:hint="eastAsia"/>
              </w:rPr>
              <w:t>000隻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both"/>
            </w:pPr>
            <w:r>
              <w:rPr>
                <w:rFonts w:hint="eastAsia"/>
              </w:rPr>
              <w:t>社會發展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both"/>
            </w:pPr>
            <w:r>
              <w:rPr>
                <w:rFonts w:hint="eastAsia"/>
              </w:rPr>
              <w:t>人權指標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both"/>
            </w:pPr>
            <w:r>
              <w:rPr>
                <w:rFonts w:hint="eastAsia"/>
              </w:rPr>
              <w:t>參與農村再生培根計畫學員性別比例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pStyle w:val="Web"/>
              <w:spacing w:before="0" w:beforeAutospacing="0" w:after="0" w:afterAutospacing="0" w:line="318" w:lineRule="exact"/>
            </w:pPr>
            <w:r>
              <w:rPr>
                <w:rFonts w:hint="eastAsia"/>
              </w:rPr>
              <w:t>參與農村再生培根計畫學員性別比例（女性占比）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37</w:t>
            </w:r>
            <w:r w:rsidR="001534F3">
              <w:rPr>
                <w:rFonts w:hint="eastAsia"/>
              </w:rPr>
              <w:t>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八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both"/>
            </w:pPr>
            <w:r>
              <w:rPr>
                <w:rFonts w:hint="eastAsia"/>
              </w:rPr>
              <w:t>提升行政措施，增進服務品質及效能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both"/>
            </w:pPr>
            <w:r>
              <w:rPr>
                <w:rFonts w:hint="eastAsia"/>
              </w:rPr>
              <w:t>提升農業全球資訊網服務品質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pStyle w:val="Web"/>
              <w:spacing w:before="0" w:beforeAutospacing="0" w:after="0" w:afterAutospacing="0" w:line="318" w:lineRule="exact"/>
            </w:pPr>
            <w:r>
              <w:rPr>
                <w:rFonts w:hint="eastAsia"/>
              </w:rPr>
              <w:t>實際網站點閱</w:t>
            </w:r>
            <w:proofErr w:type="gramStart"/>
            <w:r>
              <w:rPr>
                <w:rFonts w:hint="eastAsia"/>
              </w:rPr>
              <w:t>人次</w:t>
            </w:r>
            <w:r w:rsidR="00FE1326">
              <w:rPr>
                <w:rFonts w:hint="eastAsia"/>
              </w:rPr>
              <w:t>÷</w:t>
            </w:r>
            <w:proofErr w:type="gramEnd"/>
            <w:r>
              <w:rPr>
                <w:rFonts w:hint="eastAsia"/>
              </w:rPr>
              <w:t>預定點閱</w:t>
            </w:r>
            <w:proofErr w:type="gramStart"/>
            <w:r>
              <w:rPr>
                <w:rFonts w:hint="eastAsia"/>
              </w:rPr>
              <w:t>人次</w:t>
            </w:r>
            <w:r w:rsidR="008B0184">
              <w:rPr>
                <w:rFonts w:hint="eastAsia"/>
              </w:rPr>
              <w:t>×</w:t>
            </w:r>
            <w:proofErr w:type="gramEnd"/>
            <w:r>
              <w:rPr>
                <w:rFonts w:hint="eastAsia"/>
              </w:rPr>
              <w:t>50</w:t>
            </w:r>
            <w:r w:rsidR="001534F3">
              <w:rPr>
                <w:rFonts w:hint="eastAsia"/>
              </w:rPr>
              <w:t>%</w:t>
            </w:r>
            <w:r>
              <w:rPr>
                <w:rFonts w:hint="eastAsia"/>
              </w:rPr>
              <w:t>＋使用者滿意度調查</w:t>
            </w:r>
            <w:r w:rsidR="00715F2D">
              <w:rPr>
                <w:rFonts w:hint="eastAsia"/>
              </w:rPr>
              <w:t>×</w:t>
            </w:r>
            <w:r>
              <w:rPr>
                <w:rFonts w:hint="eastAsia"/>
              </w:rPr>
              <w:t>50</w:t>
            </w:r>
            <w:r w:rsidR="001534F3">
              <w:rPr>
                <w:rFonts w:hint="eastAsia"/>
              </w:rPr>
              <w:t>%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18" w:lineRule="exact"/>
              <w:jc w:val="center"/>
            </w:pPr>
            <w:r>
              <w:rPr>
                <w:rFonts w:hint="eastAsia"/>
              </w:rPr>
              <w:t>88%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E469B">
            <w:pPr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九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33FCC">
            <w:pPr>
              <w:spacing w:line="318" w:lineRule="exact"/>
              <w:jc w:val="both"/>
            </w:pPr>
            <w:r>
              <w:rPr>
                <w:rFonts w:hint="eastAsia"/>
              </w:rPr>
              <w:t>強化農漁會</w:t>
            </w:r>
            <w:proofErr w:type="gramStart"/>
            <w:r>
              <w:rPr>
                <w:rFonts w:hint="eastAsia"/>
              </w:rPr>
              <w:t>信用部監理</w:t>
            </w:r>
            <w:proofErr w:type="gramEnd"/>
            <w:r>
              <w:rPr>
                <w:rFonts w:hint="eastAsia"/>
              </w:rPr>
              <w:t>與輔導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33FCC">
            <w:pPr>
              <w:spacing w:line="318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33FCC">
            <w:pPr>
              <w:spacing w:line="318" w:lineRule="exact"/>
              <w:jc w:val="both"/>
            </w:pPr>
            <w:r>
              <w:rPr>
                <w:rFonts w:hint="eastAsia"/>
              </w:rPr>
              <w:t>農漁會</w:t>
            </w:r>
            <w:proofErr w:type="gramStart"/>
            <w:r>
              <w:rPr>
                <w:rFonts w:hint="eastAsia"/>
              </w:rPr>
              <w:t>信用部逾放</w:t>
            </w:r>
            <w:proofErr w:type="gramEnd"/>
            <w:r>
              <w:rPr>
                <w:rFonts w:hint="eastAsia"/>
              </w:rPr>
              <w:t>比率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33FCC">
            <w:pPr>
              <w:spacing w:line="318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33FCC">
            <w:pPr>
              <w:spacing w:line="318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33FCC">
            <w:pPr>
              <w:pStyle w:val="Web"/>
              <w:spacing w:before="0" w:beforeAutospacing="0" w:after="0" w:afterAutospacing="0" w:line="318" w:lineRule="exact"/>
            </w:pPr>
            <w:r>
              <w:rPr>
                <w:rFonts w:hint="eastAsia"/>
              </w:rPr>
              <w:t>農漁會</w:t>
            </w:r>
            <w:proofErr w:type="gramStart"/>
            <w:r>
              <w:rPr>
                <w:rFonts w:hint="eastAsia"/>
              </w:rPr>
              <w:t>信用部逾放</w:t>
            </w:r>
            <w:proofErr w:type="gramEnd"/>
            <w:r>
              <w:rPr>
                <w:rFonts w:hint="eastAsia"/>
              </w:rPr>
              <w:t>比率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33FCC">
            <w:pPr>
              <w:spacing w:line="318" w:lineRule="exact"/>
              <w:jc w:val="center"/>
            </w:pPr>
            <w:r>
              <w:rPr>
                <w:rFonts w:hint="eastAsia"/>
              </w:rPr>
              <w:t>0.8%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 w:rsidP="00533FCC">
            <w:pPr>
              <w:spacing w:line="318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lastRenderedPageBreak/>
              <w:t>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提升森林遊樂區之營運管理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森林遊樂區收入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森林遊樂區收入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1379F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417</w:t>
            </w:r>
            <w:r w:rsidR="00577906">
              <w:rPr>
                <w:rFonts w:hint="eastAsia"/>
              </w:rPr>
              <w:t>,</w:t>
            </w:r>
            <w:r>
              <w:rPr>
                <w:rFonts w:hint="eastAsia"/>
              </w:rPr>
              <w:t>233</w:t>
            </w:r>
          </w:p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千元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十一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推動外部學習機制，提升人力素質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農民學院專業訓練受訓學員滿意度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農民學院專業訓練受訓學員滿意度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94%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3DBC" w:rsidRDefault="003A3DBC"/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農村再生之培根社區數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統計數據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依農村再生條例規定參與農村再生培根計畫之累計社區數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2</w:t>
            </w:r>
            <w:r w:rsidR="00577906">
              <w:rPr>
                <w:rFonts w:hint="eastAsia"/>
              </w:rPr>
              <w:t>,</w:t>
            </w:r>
            <w:r>
              <w:rPr>
                <w:rFonts w:hint="eastAsia"/>
              </w:rPr>
              <w:t>520個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  <w:tr w:rsidR="000B4549" w:rsidTr="000B4549">
        <w:trPr>
          <w:divId w:val="1944603542"/>
        </w:trPr>
        <w:tc>
          <w:tcPr>
            <w:tcW w:w="1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十二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proofErr w:type="gramStart"/>
            <w:r>
              <w:rPr>
                <w:rFonts w:hint="eastAsia"/>
              </w:rPr>
              <w:t>跨域加</w:t>
            </w:r>
            <w:proofErr w:type="gramEnd"/>
            <w:r>
              <w:rPr>
                <w:rFonts w:hint="eastAsia"/>
              </w:rPr>
              <w:t>值公共建設及科技發展財務規劃方案（跨機關目標）</w:t>
            </w:r>
          </w:p>
        </w:tc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辦理</w:t>
            </w:r>
            <w:proofErr w:type="gramStart"/>
            <w:r>
              <w:rPr>
                <w:rFonts w:hint="eastAsia"/>
              </w:rPr>
              <w:t>跨域加</w:t>
            </w:r>
            <w:proofErr w:type="gramEnd"/>
            <w:r>
              <w:rPr>
                <w:rFonts w:hint="eastAsia"/>
              </w:rPr>
              <w:t>值之公共建設計畫</w:t>
            </w:r>
          </w:p>
        </w:tc>
        <w:tc>
          <w:tcPr>
            <w:tcW w:w="3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進度控管</w:t>
            </w:r>
          </w:p>
        </w:tc>
        <w:tc>
          <w:tcPr>
            <w:tcW w:w="12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pStyle w:val="Web"/>
              <w:wordWrap w:val="0"/>
              <w:spacing w:before="0" w:beforeAutospacing="0" w:after="0" w:afterAutospacing="0" w:line="320" w:lineRule="exact"/>
            </w:pPr>
            <w:r>
              <w:rPr>
                <w:rFonts w:hint="eastAsia"/>
              </w:rPr>
              <w:t>計畫項目</w:t>
            </w:r>
          </w:p>
        </w:tc>
        <w:tc>
          <w:tcPr>
            <w:tcW w:w="8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center"/>
            </w:pPr>
            <w:r>
              <w:rPr>
                <w:rFonts w:hint="eastAsia"/>
              </w:rPr>
              <w:t>1項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3DBC" w:rsidRDefault="00E0549B">
            <w:pPr>
              <w:wordWrap w:val="0"/>
              <w:spacing w:line="320" w:lineRule="exact"/>
              <w:jc w:val="both"/>
            </w:pPr>
            <w:r>
              <w:rPr>
                <w:rFonts w:hint="eastAsia"/>
              </w:rPr>
              <w:t>無</w:t>
            </w:r>
          </w:p>
        </w:tc>
      </w:tr>
    </w:tbl>
    <w:p w:rsidR="003A3DBC" w:rsidRDefault="00E0549B">
      <w:pPr>
        <w:pStyle w:val="Web"/>
        <w:spacing w:before="0" w:beforeAutospacing="0" w:after="0" w:afterAutospacing="0" w:line="320" w:lineRule="exact"/>
        <w:divId w:val="1944603542"/>
        <w:rPr>
          <w:sz w:val="18"/>
          <w:szCs w:val="18"/>
        </w:rPr>
      </w:pPr>
      <w:proofErr w:type="gramStart"/>
      <w:r>
        <w:rPr>
          <w:rFonts w:hint="eastAsia"/>
          <w:sz w:val="18"/>
          <w:szCs w:val="18"/>
        </w:rPr>
        <w:t>註</w:t>
      </w:r>
      <w:proofErr w:type="gramEnd"/>
      <w:r>
        <w:rPr>
          <w:rFonts w:hint="eastAsia"/>
          <w:sz w:val="18"/>
          <w:szCs w:val="18"/>
        </w:rPr>
        <w:t>：</w:t>
      </w:r>
    </w:p>
    <w:p w:rsidR="003A3DBC" w:rsidRDefault="00E0549B">
      <w:pPr>
        <w:pStyle w:val="Web"/>
        <w:spacing w:before="0" w:beforeAutospacing="0" w:after="0" w:afterAutospacing="0" w:line="32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>評估體制之數字代號意義如下：</w:t>
      </w:r>
    </w:p>
    <w:p w:rsidR="003A3DBC" w:rsidRDefault="00E0549B">
      <w:pPr>
        <w:pStyle w:val="Web"/>
        <w:spacing w:before="0" w:beforeAutospacing="0" w:after="0" w:afterAutospacing="0" w:line="32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1.指實際評估作業係運用既有之組織架構進行。</w:t>
      </w:r>
    </w:p>
    <w:p w:rsidR="003A3DBC" w:rsidRDefault="00E0549B">
      <w:pPr>
        <w:pStyle w:val="Web"/>
        <w:spacing w:before="0" w:beforeAutospacing="0" w:after="0" w:afterAutospacing="0" w:line="32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2.指實際評估作業係由特定之任務編組進行。</w:t>
      </w:r>
    </w:p>
    <w:p w:rsidR="003A3DBC" w:rsidRDefault="00E0549B">
      <w:pPr>
        <w:pStyle w:val="Web"/>
        <w:spacing w:before="0" w:beforeAutospacing="0" w:after="0" w:afterAutospacing="0" w:line="32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3.指實際評估作業係透過第三者方式（如由專家學者）進行。</w:t>
      </w:r>
    </w:p>
    <w:p w:rsidR="003A3DBC" w:rsidRDefault="00E0549B">
      <w:pPr>
        <w:pStyle w:val="Web"/>
        <w:spacing w:before="0" w:beforeAutospacing="0" w:after="0" w:afterAutospacing="0" w:line="32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4.指實際評估作業係運用既有之組織架構並邀請第三者共同參與進行。</w:t>
      </w:r>
    </w:p>
    <w:p w:rsidR="003A3DBC" w:rsidRDefault="00E0549B">
      <w:pPr>
        <w:pStyle w:val="Web"/>
        <w:spacing w:before="0" w:beforeAutospacing="0" w:after="0" w:afterAutospacing="0" w:line="320" w:lineRule="exact"/>
        <w:divId w:val="1944603542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5.其它。</w:t>
      </w:r>
    </w:p>
    <w:sectPr w:rsidR="003A3DBC" w:rsidSect="00CF052D">
      <w:footerReference w:type="default" r:id="rId8"/>
      <w:pgSz w:w="11907" w:h="16840" w:code="9"/>
      <w:pgMar w:top="1440" w:right="1797" w:bottom="1440" w:left="179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574" w:rsidRDefault="00E86574">
      <w:r>
        <w:separator/>
      </w:r>
    </w:p>
  </w:endnote>
  <w:endnote w:type="continuationSeparator" w:id="0">
    <w:p w:rsidR="00E86574" w:rsidRDefault="00E86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8810007"/>
      <w:docPartObj>
        <w:docPartGallery w:val="Page Numbers (Bottom of Page)"/>
        <w:docPartUnique/>
      </w:docPartObj>
    </w:sdtPr>
    <w:sdtEndPr/>
    <w:sdtContent>
      <w:p w:rsidR="00CC7CB3" w:rsidRDefault="00CC7CB3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957" w:rsidRPr="00D03957">
          <w:rPr>
            <w:noProof/>
            <w:lang w:val="zh-TW"/>
          </w:rPr>
          <w:t>1</w:t>
        </w:r>
        <w:r>
          <w:fldChar w:fldCharType="end"/>
        </w:r>
      </w:p>
    </w:sdtContent>
  </w:sdt>
  <w:p w:rsidR="00CC7CB3" w:rsidRDefault="00CC7CB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574" w:rsidRDefault="00E86574">
      <w:r>
        <w:separator/>
      </w:r>
    </w:p>
  </w:footnote>
  <w:footnote w:type="continuationSeparator" w:id="0">
    <w:p w:rsidR="00E86574" w:rsidRDefault="00E865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459"/>
    <w:rsid w:val="000400A0"/>
    <w:rsid w:val="00072B6A"/>
    <w:rsid w:val="000754C1"/>
    <w:rsid w:val="000B1968"/>
    <w:rsid w:val="000B24CB"/>
    <w:rsid w:val="000B4549"/>
    <w:rsid w:val="001534F3"/>
    <w:rsid w:val="00186BE1"/>
    <w:rsid w:val="00274833"/>
    <w:rsid w:val="002B6008"/>
    <w:rsid w:val="002F33B2"/>
    <w:rsid w:val="00315E49"/>
    <w:rsid w:val="00350514"/>
    <w:rsid w:val="003A3DBC"/>
    <w:rsid w:val="004357FE"/>
    <w:rsid w:val="004A1EF7"/>
    <w:rsid w:val="004B772F"/>
    <w:rsid w:val="004C3EA0"/>
    <w:rsid w:val="004F0986"/>
    <w:rsid w:val="00533FCC"/>
    <w:rsid w:val="00564A9C"/>
    <w:rsid w:val="00574026"/>
    <w:rsid w:val="00577906"/>
    <w:rsid w:val="005B447E"/>
    <w:rsid w:val="005E469B"/>
    <w:rsid w:val="0063409E"/>
    <w:rsid w:val="006F760E"/>
    <w:rsid w:val="00715F2D"/>
    <w:rsid w:val="0080089F"/>
    <w:rsid w:val="00831685"/>
    <w:rsid w:val="00866FF3"/>
    <w:rsid w:val="00872F14"/>
    <w:rsid w:val="008B0184"/>
    <w:rsid w:val="008F70F4"/>
    <w:rsid w:val="009135A9"/>
    <w:rsid w:val="00953E26"/>
    <w:rsid w:val="00996E91"/>
    <w:rsid w:val="009A5518"/>
    <w:rsid w:val="009D464B"/>
    <w:rsid w:val="00A3497A"/>
    <w:rsid w:val="00A42299"/>
    <w:rsid w:val="00A97343"/>
    <w:rsid w:val="00AC2F1A"/>
    <w:rsid w:val="00AE4459"/>
    <w:rsid w:val="00B577C2"/>
    <w:rsid w:val="00BA5517"/>
    <w:rsid w:val="00C50437"/>
    <w:rsid w:val="00C94FAB"/>
    <w:rsid w:val="00CB6FD2"/>
    <w:rsid w:val="00CC7CB3"/>
    <w:rsid w:val="00CF052D"/>
    <w:rsid w:val="00CF159F"/>
    <w:rsid w:val="00D03957"/>
    <w:rsid w:val="00D1379F"/>
    <w:rsid w:val="00D14796"/>
    <w:rsid w:val="00D7660F"/>
    <w:rsid w:val="00E0549B"/>
    <w:rsid w:val="00E27052"/>
    <w:rsid w:val="00E4042F"/>
    <w:rsid w:val="00E63449"/>
    <w:rsid w:val="00E65E8A"/>
    <w:rsid w:val="00E65F59"/>
    <w:rsid w:val="00E86574"/>
    <w:rsid w:val="00EA5EDA"/>
    <w:rsid w:val="00EC7C8A"/>
    <w:rsid w:val="00ED0909"/>
    <w:rsid w:val="00EF6CBA"/>
    <w:rsid w:val="00F87B92"/>
    <w:rsid w:val="00FA2F69"/>
    <w:rsid w:val="00FE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/>
      <w:jc w:val="both"/>
    </w:pPr>
  </w:style>
  <w:style w:type="paragraph" w:styleId="a3">
    <w:name w:val="footer"/>
    <w:basedOn w:val="a"/>
    <w:link w:val="a4"/>
    <w:uiPriority w:val="99"/>
    <w:unhideWhenUsed/>
    <w:pPr>
      <w:tabs>
        <w:tab w:val="center" w:pos="0"/>
        <w:tab w:val="right" w:pos="140"/>
      </w:tabs>
      <w:jc w:val="center"/>
    </w:pPr>
  </w:style>
  <w:style w:type="character" w:customStyle="1" w:styleId="a4">
    <w:name w:val="頁尾 字元"/>
    <w:link w:val="a3"/>
    <w:uiPriority w:val="99"/>
    <w:rPr>
      <w:rFonts w:ascii="新細明體" w:eastAsia="新細明體" w:hAnsi="新細明體" w:cs="新細明體"/>
    </w:rPr>
  </w:style>
  <w:style w:type="paragraph" w:customStyle="1" w:styleId="tablev2">
    <w:name w:val="tablev2"/>
    <w:basedOn w:val="a"/>
    <w:pPr>
      <w:pBdr>
        <w:top w:val="single" w:sz="6" w:space="0" w:color="5AA7DB"/>
        <w:left w:val="single" w:sz="6" w:space="8" w:color="CCCCCC"/>
        <w:bottom w:val="single" w:sz="6" w:space="0" w:color="5AA7DB"/>
        <w:right w:val="single" w:sz="6" w:space="0" w:color="5AA7DB"/>
      </w:pBdr>
      <w:spacing w:before="100" w:beforeAutospacing="1" w:after="100" w:afterAutospacing="1"/>
    </w:pPr>
  </w:style>
  <w:style w:type="paragraph" w:customStyle="1" w:styleId="tabletitle">
    <w:name w:val="table_title"/>
    <w:basedOn w:val="a"/>
    <w:pPr>
      <w:pBdr>
        <w:bottom w:val="single" w:sz="36" w:space="4" w:color="5AA7DB"/>
      </w:pBdr>
      <w:spacing w:before="100" w:beforeAutospacing="1" w:after="100" w:afterAutospacing="1"/>
      <w:jc w:val="center"/>
    </w:pPr>
    <w:rPr>
      <w:color w:val="006699"/>
    </w:rPr>
  </w:style>
  <w:style w:type="paragraph" w:customStyle="1" w:styleId="left">
    <w:name w:val="left"/>
    <w:basedOn w:val="a"/>
    <w:pPr>
      <w:pBdr>
        <w:top w:val="single" w:sz="6" w:space="0" w:color="CCCCCC"/>
        <w:left w:val="single" w:sz="6" w:space="8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</w:style>
  <w:style w:type="paragraph" w:customStyle="1" w:styleId="lefta">
    <w:name w:val="left_a"/>
    <w:basedOn w:val="a"/>
    <w:pPr>
      <w:pBdr>
        <w:top w:val="single" w:sz="6" w:space="0" w:color="CCCCCC"/>
        <w:left w:val="single" w:sz="6" w:space="8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</w:style>
  <w:style w:type="character" w:styleId="a5">
    <w:name w:val="page number"/>
    <w:basedOn w:val="a0"/>
    <w:uiPriority w:val="99"/>
    <w:semiHidden/>
    <w:unhideWhenUsed/>
  </w:style>
  <w:style w:type="paragraph" w:styleId="a6">
    <w:name w:val="header"/>
    <w:basedOn w:val="a"/>
    <w:link w:val="a7"/>
    <w:uiPriority w:val="99"/>
    <w:unhideWhenUsed/>
    <w:rsid w:val="005779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577906"/>
    <w:rPr>
      <w:rFonts w:ascii="新細明體" w:eastAsia="新細明體" w:hAnsi="新細明體" w:cs="新細明體"/>
    </w:rPr>
  </w:style>
  <w:style w:type="character" w:styleId="a8">
    <w:name w:val="Placeholder Text"/>
    <w:basedOn w:val="a0"/>
    <w:uiPriority w:val="99"/>
    <w:semiHidden/>
    <w:rsid w:val="00E4042F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40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4042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/>
      <w:jc w:val="both"/>
    </w:pPr>
  </w:style>
  <w:style w:type="paragraph" w:styleId="a3">
    <w:name w:val="footer"/>
    <w:basedOn w:val="a"/>
    <w:link w:val="a4"/>
    <w:uiPriority w:val="99"/>
    <w:unhideWhenUsed/>
    <w:pPr>
      <w:tabs>
        <w:tab w:val="center" w:pos="0"/>
        <w:tab w:val="right" w:pos="140"/>
      </w:tabs>
      <w:jc w:val="center"/>
    </w:pPr>
  </w:style>
  <w:style w:type="character" w:customStyle="1" w:styleId="a4">
    <w:name w:val="頁尾 字元"/>
    <w:link w:val="a3"/>
    <w:uiPriority w:val="99"/>
    <w:rPr>
      <w:rFonts w:ascii="新細明體" w:eastAsia="新細明體" w:hAnsi="新細明體" w:cs="新細明體"/>
    </w:rPr>
  </w:style>
  <w:style w:type="paragraph" w:customStyle="1" w:styleId="tablev2">
    <w:name w:val="tablev2"/>
    <w:basedOn w:val="a"/>
    <w:pPr>
      <w:pBdr>
        <w:top w:val="single" w:sz="6" w:space="0" w:color="5AA7DB"/>
        <w:left w:val="single" w:sz="6" w:space="8" w:color="CCCCCC"/>
        <w:bottom w:val="single" w:sz="6" w:space="0" w:color="5AA7DB"/>
        <w:right w:val="single" w:sz="6" w:space="0" w:color="5AA7DB"/>
      </w:pBdr>
      <w:spacing w:before="100" w:beforeAutospacing="1" w:after="100" w:afterAutospacing="1"/>
    </w:pPr>
  </w:style>
  <w:style w:type="paragraph" w:customStyle="1" w:styleId="tabletitle">
    <w:name w:val="table_title"/>
    <w:basedOn w:val="a"/>
    <w:pPr>
      <w:pBdr>
        <w:bottom w:val="single" w:sz="36" w:space="4" w:color="5AA7DB"/>
      </w:pBdr>
      <w:spacing w:before="100" w:beforeAutospacing="1" w:after="100" w:afterAutospacing="1"/>
      <w:jc w:val="center"/>
    </w:pPr>
    <w:rPr>
      <w:color w:val="006699"/>
    </w:rPr>
  </w:style>
  <w:style w:type="paragraph" w:customStyle="1" w:styleId="left">
    <w:name w:val="left"/>
    <w:basedOn w:val="a"/>
    <w:pPr>
      <w:pBdr>
        <w:top w:val="single" w:sz="6" w:space="0" w:color="CCCCCC"/>
        <w:left w:val="single" w:sz="6" w:space="8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</w:style>
  <w:style w:type="paragraph" w:customStyle="1" w:styleId="lefta">
    <w:name w:val="left_a"/>
    <w:basedOn w:val="a"/>
    <w:pPr>
      <w:pBdr>
        <w:top w:val="single" w:sz="6" w:space="0" w:color="CCCCCC"/>
        <w:left w:val="single" w:sz="6" w:space="8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</w:pPr>
  </w:style>
  <w:style w:type="character" w:styleId="a5">
    <w:name w:val="page number"/>
    <w:basedOn w:val="a0"/>
    <w:uiPriority w:val="99"/>
    <w:semiHidden/>
    <w:unhideWhenUsed/>
  </w:style>
  <w:style w:type="paragraph" w:styleId="a6">
    <w:name w:val="header"/>
    <w:basedOn w:val="a"/>
    <w:link w:val="a7"/>
    <w:uiPriority w:val="99"/>
    <w:unhideWhenUsed/>
    <w:rsid w:val="005779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577906"/>
    <w:rPr>
      <w:rFonts w:ascii="新細明體" w:eastAsia="新細明體" w:hAnsi="新細明體" w:cs="新細明體"/>
    </w:rPr>
  </w:style>
  <w:style w:type="character" w:styleId="a8">
    <w:name w:val="Placeholder Text"/>
    <w:basedOn w:val="a0"/>
    <w:uiPriority w:val="99"/>
    <w:semiHidden/>
    <w:rsid w:val="00E4042F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40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404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60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EB092-D98C-4564-B8B5-D2A36B543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2191</Words>
  <Characters>577</Characters>
  <Application>Microsoft Office Word</Application>
  <DocSecurity>4</DocSecurity>
  <Lines>4</Lines>
  <Paragraphs>5</Paragraphs>
  <ScaleCrop>false</ScaleCrop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資訊服務科李素瑤</cp:lastModifiedBy>
  <cp:revision>2</cp:revision>
  <dcterms:created xsi:type="dcterms:W3CDTF">2016-03-18T01:41:00Z</dcterms:created>
  <dcterms:modified xsi:type="dcterms:W3CDTF">2016-03-18T01:41:00Z</dcterms:modified>
</cp:coreProperties>
</file>