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3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3"/>
      </w:tblGrid>
      <w:tr w:rsidR="00F94862" w:rsidRPr="006B3D2B" w:rsidTr="005554C3">
        <w:tc>
          <w:tcPr>
            <w:tcW w:w="9073" w:type="dxa"/>
          </w:tcPr>
          <w:p w:rsidR="00F94862" w:rsidRPr="001104F2" w:rsidRDefault="00F94862" w:rsidP="00751B7F">
            <w:pPr>
              <w:spacing w:line="400" w:lineRule="exact"/>
              <w:rPr>
                <w:rFonts w:ascii="標楷體" w:eastAsia="標楷體" w:hAnsi="標楷體"/>
              </w:rPr>
            </w:pPr>
            <w:r w:rsidRPr="001104F2">
              <w:rPr>
                <w:rFonts w:ascii="標楷體" w:eastAsia="標楷體" w:hAnsi="標楷體" w:hint="eastAsia"/>
                <w:kern w:val="0"/>
              </w:rPr>
              <w:t>附表：</w:t>
            </w:r>
          </w:p>
        </w:tc>
      </w:tr>
      <w:tr w:rsidR="00F94862" w:rsidRPr="006B3D2B" w:rsidTr="005554C3">
        <w:tc>
          <w:tcPr>
            <w:tcW w:w="9073" w:type="dxa"/>
          </w:tcPr>
          <w:tbl>
            <w:tblPr>
              <w:tblpPr w:leftFromText="180" w:rightFromText="180" w:vertAnchor="text" w:horzAnchor="margin" w:tblpXSpec="right" w:tblpY="-11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30"/>
              <w:gridCol w:w="5670"/>
            </w:tblGrid>
            <w:tr w:rsidR="00F94862" w:rsidRPr="001010C8" w:rsidTr="005554C3">
              <w:trPr>
                <w:trHeight w:val="536"/>
              </w:trPr>
              <w:tc>
                <w:tcPr>
                  <w:tcW w:w="2830" w:type="dxa"/>
                  <w:shd w:val="clear" w:color="auto" w:fill="auto"/>
                  <w:vAlign w:val="center"/>
                </w:tcPr>
                <w:p w:rsidR="00F94862" w:rsidRPr="003374A7" w:rsidRDefault="00F94862" w:rsidP="00751B7F">
                  <w:pPr>
                    <w:spacing w:line="360" w:lineRule="auto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展項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名稱</w:t>
                  </w:r>
                  <w:proofErr w:type="gramEnd"/>
                </w:p>
              </w:tc>
              <w:tc>
                <w:tcPr>
                  <w:tcW w:w="5670" w:type="dxa"/>
                  <w:shd w:val="clear" w:color="auto" w:fill="auto"/>
                  <w:vAlign w:val="center"/>
                </w:tcPr>
                <w:p w:rsidR="00F94862" w:rsidRPr="003374A7" w:rsidRDefault="00F94862" w:rsidP="00751B7F">
                  <w:pPr>
                    <w:spacing w:line="360" w:lineRule="auto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展項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說明</w:t>
                  </w:r>
                  <w:proofErr w:type="gramEnd"/>
                </w:p>
              </w:tc>
            </w:tr>
            <w:tr w:rsidR="00F94862" w:rsidRPr="001010C8" w:rsidTr="005554C3">
              <w:trPr>
                <w:trHeight w:val="761"/>
              </w:trPr>
              <w:tc>
                <w:tcPr>
                  <w:tcW w:w="2830" w:type="dxa"/>
                  <w:shd w:val="clear" w:color="auto" w:fill="auto"/>
                  <w:vAlign w:val="center"/>
                </w:tcPr>
                <w:p w:rsidR="00F94862" w:rsidRDefault="00F94862" w:rsidP="00751B7F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海水觀賞魚</w:t>
                  </w: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泗</w:t>
                  </w:r>
                  <w:proofErr w:type="gramEnd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水玫瑰</w:t>
                  </w:r>
                </w:p>
                <w:p w:rsidR="00F94862" w:rsidRPr="003374A7" w:rsidRDefault="00F94862" w:rsidP="00751B7F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小規模生產模組</w:t>
                  </w:r>
                </w:p>
              </w:tc>
              <w:tc>
                <w:tcPr>
                  <w:tcW w:w="5670" w:type="dxa"/>
                  <w:shd w:val="clear" w:color="auto" w:fill="auto"/>
                </w:tcPr>
                <w:p w:rsidR="00F94862" w:rsidRPr="003374A7" w:rsidRDefault="00F94862" w:rsidP="00751B7F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原產印尼</w:t>
                  </w:r>
                  <w:r w:rsidRPr="00133679">
                    <w:rPr>
                      <w:rFonts w:ascii="標楷體" w:eastAsia="標楷體" w:hAnsi="標楷體" w:hint="eastAsia"/>
                      <w:szCs w:val="28"/>
                    </w:rPr>
                    <w:t>海水觀賞魚</w:t>
                  </w:r>
                  <w:proofErr w:type="gramStart"/>
                  <w:r w:rsidRPr="00133679">
                    <w:rPr>
                      <w:rFonts w:ascii="標楷體" w:eastAsia="標楷體" w:hAnsi="標楷體" w:hint="eastAsia"/>
                      <w:szCs w:val="28"/>
                    </w:rPr>
                    <w:t>泗</w:t>
                  </w:r>
                  <w:proofErr w:type="gramEnd"/>
                  <w:r w:rsidRPr="00133679">
                    <w:rPr>
                      <w:rFonts w:ascii="標楷體" w:eastAsia="標楷體" w:hAnsi="標楷體" w:hint="eastAsia"/>
                      <w:szCs w:val="28"/>
                    </w:rPr>
                    <w:t>水玫瑰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，供應來源為野外捕撈，市售價格在250~400元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之間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因</w:t>
                  </w:r>
                  <w:r w:rsidRPr="00411DBD">
                    <w:rPr>
                      <w:rFonts w:ascii="標楷體" w:eastAsia="標楷體" w:hAnsi="標楷體" w:hint="eastAsia"/>
                      <w:szCs w:val="28"/>
                    </w:rPr>
                    <w:t>觀賞水族貿易之明顯需求與大量消耗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，其中以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歐盟、北美與日本為主要市場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預估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每年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在20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萬尾需求</w:t>
                  </w:r>
                  <w:r>
                    <w:rPr>
                      <w:rFonts w:ascii="新細明體" w:hAnsi="新細明體" w:hint="eastAsia"/>
                      <w:szCs w:val="28"/>
                    </w:rPr>
                    <w:t>。</w:t>
                  </w:r>
                  <w:r w:rsidRPr="0082799C">
                    <w:rPr>
                      <w:rFonts w:ascii="標楷體" w:eastAsia="標楷體" w:hAnsi="標楷體" w:hint="eastAsia"/>
                      <w:szCs w:val="28"/>
                    </w:rPr>
                    <w:t>經農委</w:t>
                  </w:r>
                  <w:r w:rsidRPr="008B534A">
                    <w:rPr>
                      <w:rFonts w:ascii="標楷體" w:eastAsia="標楷體" w:hAnsi="標楷體" w:hint="eastAsia"/>
                      <w:szCs w:val="28"/>
                    </w:rPr>
                    <w:t>會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漁業署委託臺灣海洋大學研發，已成功利用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人工培育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復育方式</w:t>
                  </w:r>
                  <w:r w:rsidRPr="00DB3C94">
                    <w:rPr>
                      <w:rFonts w:ascii="標楷體" w:eastAsia="標楷體" w:hAnsi="標楷體" w:hint="eastAsia"/>
                      <w:szCs w:val="28"/>
                    </w:rPr>
                    <w:t>，每年可成功育成30萬尾，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穩定供應市場需求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。</w:t>
                  </w:r>
                </w:p>
              </w:tc>
            </w:tr>
            <w:tr w:rsidR="00F94862" w:rsidRPr="001010C8" w:rsidTr="005554C3">
              <w:trPr>
                <w:trHeight w:val="761"/>
              </w:trPr>
              <w:tc>
                <w:tcPr>
                  <w:tcW w:w="2830" w:type="dxa"/>
                  <w:shd w:val="clear" w:color="auto" w:fill="auto"/>
                  <w:vAlign w:val="center"/>
                </w:tcPr>
                <w:p w:rsidR="00F94862" w:rsidRDefault="00F94862" w:rsidP="00751B7F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觀賞淡(海)水</w:t>
                  </w:r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海龍</w:t>
                  </w:r>
                </w:p>
                <w:p w:rsidR="00F94862" w:rsidRPr="003374A7" w:rsidRDefault="00F94862" w:rsidP="00751B7F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 w:rsidRPr="00014902">
                    <w:rPr>
                      <w:rFonts w:ascii="標楷體" w:eastAsia="標楷體" w:hAnsi="標楷體" w:hint="eastAsia"/>
                      <w:szCs w:val="28"/>
                    </w:rPr>
                    <w:t>小規模生產模組</w:t>
                  </w:r>
                </w:p>
              </w:tc>
              <w:tc>
                <w:tcPr>
                  <w:tcW w:w="5670" w:type="dxa"/>
                  <w:shd w:val="clear" w:color="auto" w:fill="auto"/>
                </w:tcPr>
                <w:p w:rsidR="00F94862" w:rsidRPr="003374A7" w:rsidRDefault="00F94862" w:rsidP="00751B7F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具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稀有性</w:t>
                  </w:r>
                  <w:r w:rsidRPr="00CD4DDD">
                    <w:rPr>
                      <w:rFonts w:ascii="標楷體" w:eastAsia="標楷體" w:hAnsi="標楷體" w:hint="eastAsia"/>
                      <w:szCs w:val="28"/>
                    </w:rPr>
                    <w:t>淡</w:t>
                  </w:r>
                  <w:proofErr w:type="gramEnd"/>
                  <w:r w:rsidRPr="00CD4DDD">
                    <w:rPr>
                      <w:rFonts w:ascii="標楷體" w:eastAsia="標楷體" w:hAnsi="標楷體" w:hint="eastAsia"/>
                      <w:szCs w:val="28"/>
                    </w:rPr>
                    <w:t>(海)水觀賞性海龍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r w:rsidRPr="00CD4DDD">
                    <w:rPr>
                      <w:rFonts w:ascii="標楷體" w:eastAsia="標楷體" w:hAnsi="標楷體" w:hint="eastAsia"/>
                      <w:szCs w:val="28"/>
                    </w:rPr>
                    <w:t>市售價格在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450元</w:t>
                  </w:r>
                  <w:r w:rsidRPr="00CD4DDD">
                    <w:rPr>
                      <w:rFonts w:ascii="標楷體" w:eastAsia="標楷體" w:hAnsi="標楷體" w:hint="eastAsia"/>
                      <w:szCs w:val="28"/>
                    </w:rPr>
                    <w:t>間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，目前</w:t>
                  </w:r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來源為野生</w:t>
                  </w:r>
                  <w:proofErr w:type="gramStart"/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採</w:t>
                  </w:r>
                  <w:proofErr w:type="gramEnd"/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捕，但受</w:t>
                  </w:r>
                  <w:proofErr w:type="gramStart"/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個體活存率</w:t>
                  </w:r>
                  <w:proofErr w:type="gramEnd"/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、體型大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小、季節氣候、水域環境狀態等諸多因素影響，因此供應狀態並不穩定</w:t>
                  </w:r>
                  <w:r w:rsidRPr="0082799C">
                    <w:rPr>
                      <w:rFonts w:ascii="標楷體" w:eastAsia="標楷體" w:hAnsi="標楷體" w:hint="eastAsia"/>
                      <w:szCs w:val="28"/>
                    </w:rPr>
                    <w:t>。經農委會漁業署委託臺灣海洋大學研發，已成功利用</w:t>
                  </w:r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人工繁殖培育觀賞性海龍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r w:rsidRPr="00816E6E">
                    <w:rPr>
                      <w:rFonts w:ascii="標楷體" w:eastAsia="標楷體" w:hAnsi="標楷體" w:hint="eastAsia"/>
                      <w:szCs w:val="28"/>
                    </w:rPr>
                    <w:t>每年可成功育成120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萬尾</w:t>
                  </w:r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，除具多樣種別、品系、商品規格與穩定供應來源，更可兼顧特定物種資源之有效性</w:t>
                  </w:r>
                  <w:proofErr w:type="gramStart"/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利用與棲地</w:t>
                  </w:r>
                  <w:proofErr w:type="gramEnd"/>
                  <w:r w:rsidRPr="00B772E0">
                    <w:rPr>
                      <w:rFonts w:ascii="標楷體" w:eastAsia="標楷體" w:hAnsi="標楷體" w:hint="eastAsia"/>
                      <w:szCs w:val="28"/>
                    </w:rPr>
                    <w:t>保護。</w:t>
                  </w:r>
                </w:p>
              </w:tc>
            </w:tr>
            <w:tr w:rsidR="00F94862" w:rsidRPr="001010C8" w:rsidTr="005554C3">
              <w:trPr>
                <w:trHeight w:val="761"/>
              </w:trPr>
              <w:tc>
                <w:tcPr>
                  <w:tcW w:w="2830" w:type="dxa"/>
                  <w:shd w:val="clear" w:color="auto" w:fill="auto"/>
                  <w:vAlign w:val="center"/>
                </w:tcPr>
                <w:p w:rsidR="00F94862" w:rsidRPr="00B772E0" w:rsidRDefault="00F94862" w:rsidP="00751B7F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淡水觀賞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蝦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繁殖及選育培育技術</w:t>
                  </w:r>
                </w:p>
              </w:tc>
              <w:tc>
                <w:tcPr>
                  <w:tcW w:w="5670" w:type="dxa"/>
                  <w:shd w:val="clear" w:color="auto" w:fill="auto"/>
                </w:tcPr>
                <w:p w:rsidR="00F94862" w:rsidRPr="005554C3" w:rsidRDefault="00F94862" w:rsidP="00751B7F">
                  <w:pPr>
                    <w:spacing w:line="380" w:lineRule="exact"/>
                    <w:rPr>
                      <w:rFonts w:eastAsia="標楷體"/>
                      <w:szCs w:val="28"/>
                    </w:rPr>
                  </w:pPr>
                  <w:r>
                    <w:rPr>
                      <w:rFonts w:eastAsia="標楷體"/>
                      <w:szCs w:val="28"/>
                    </w:rPr>
                    <w:t>■</w:t>
                  </w:r>
                  <w:r>
                    <w:rPr>
                      <w:rFonts w:eastAsia="標楷體" w:hint="eastAsia"/>
                      <w:szCs w:val="28"/>
                    </w:rPr>
                    <w:t>水晶蝦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：</w:t>
                  </w:r>
                  <w:r>
                    <w:rPr>
                      <w:rFonts w:eastAsia="標楷體" w:hint="eastAsia"/>
                      <w:szCs w:val="28"/>
                    </w:rPr>
                    <w:t>利用紅白相間</w:t>
                  </w:r>
                  <w:proofErr w:type="gramStart"/>
                  <w:r>
                    <w:rPr>
                      <w:rFonts w:eastAsia="標楷體" w:hint="eastAsia"/>
                      <w:szCs w:val="28"/>
                    </w:rPr>
                    <w:t>水晶蝦為基礎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r>
                    <w:rPr>
                      <w:rFonts w:eastAsia="標楷體" w:hint="eastAsia"/>
                      <w:szCs w:val="28"/>
                    </w:rPr>
                    <w:t>選育成</w:t>
                  </w:r>
                  <w:r w:rsidRPr="00DA3715">
                    <w:rPr>
                      <w:rFonts w:eastAsia="標楷體" w:hint="eastAsia"/>
                      <w:szCs w:val="28"/>
                    </w:rPr>
                    <w:t>藍金剛</w:t>
                  </w:r>
                  <w:proofErr w:type="gramStart"/>
                  <w:r w:rsidRPr="00DA3715">
                    <w:rPr>
                      <w:rFonts w:eastAsia="標楷體" w:hint="eastAsia"/>
                      <w:szCs w:val="28"/>
                    </w:rPr>
                    <w:t>水晶蝦</w:t>
                  </w:r>
                  <w:r>
                    <w:rPr>
                      <w:rFonts w:eastAsia="標楷體" w:hint="eastAsia"/>
                      <w:szCs w:val="28"/>
                    </w:rPr>
                    <w:t>品系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，目前市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售</w:t>
                  </w:r>
                  <w:r w:rsidRPr="00DA3715">
                    <w:rPr>
                      <w:rFonts w:ascii="標楷體" w:eastAsia="標楷體" w:hAnsi="標楷體" w:hint="eastAsia"/>
                      <w:szCs w:val="28"/>
                    </w:rPr>
                    <w:t>價格從數百</w:t>
                  </w:r>
                  <w:proofErr w:type="gramEnd"/>
                  <w:r w:rsidRPr="00DA3715">
                    <w:rPr>
                      <w:rFonts w:ascii="標楷體" w:eastAsia="標楷體" w:hAnsi="標楷體" w:hint="eastAsia"/>
                      <w:szCs w:val="28"/>
                    </w:rPr>
                    <w:t>至數萬元</w:t>
                  </w:r>
                  <w:r w:rsidRPr="00E20791">
                    <w:rPr>
                      <w:rFonts w:ascii="標楷體" w:eastAsia="標楷體" w:hAnsi="標楷體" w:hint="eastAsia"/>
                      <w:szCs w:val="28"/>
                    </w:rPr>
                    <w:t>計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proofErr w:type="gramStart"/>
                  <w:r w:rsidRPr="00E20791">
                    <w:rPr>
                      <w:rFonts w:ascii="標楷體" w:eastAsia="標楷體" w:hAnsi="標楷體" w:hint="eastAsia"/>
                      <w:szCs w:val="28"/>
                    </w:rPr>
                    <w:t>每年可育成</w:t>
                  </w:r>
                  <w:proofErr w:type="gramEnd"/>
                  <w:r w:rsidRPr="00E20791">
                    <w:rPr>
                      <w:rFonts w:ascii="標楷體" w:eastAsia="標楷體" w:hAnsi="標楷體" w:hint="eastAsia"/>
                      <w:szCs w:val="28"/>
                    </w:rPr>
                    <w:t>8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萬尾，使得臺灣成為世界水晶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蝦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重要供應國。</w:t>
                  </w:r>
                </w:p>
                <w:p w:rsidR="00F94862" w:rsidRPr="00B772E0" w:rsidRDefault="00F94862" w:rsidP="00751B7F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eastAsia="標楷體"/>
                      <w:szCs w:val="28"/>
                    </w:rPr>
                    <w:t>■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以首創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多晶多光譜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LED燈具，</w:t>
                  </w:r>
                  <w:r w:rsidRPr="00BE02A9">
                    <w:rPr>
                      <w:rFonts w:ascii="標楷體" w:eastAsia="標楷體" w:hAnsi="標楷體" w:hint="eastAsia"/>
                      <w:szCs w:val="28"/>
                    </w:rPr>
                    <w:t>較以往傳統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燈管節能，除可產生接近大自然太陽多種光譜，更利於水族植物生長及觀賞價值</w:t>
                  </w:r>
                  <w:r w:rsidRPr="00E20791"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將可提升整體國內水族產業，每年</w:t>
                  </w:r>
                  <w:r w:rsidRPr="00E20791">
                    <w:rPr>
                      <w:rFonts w:ascii="標楷體" w:eastAsia="標楷體" w:hAnsi="標楷體" w:hint="eastAsia"/>
                      <w:szCs w:val="28"/>
                    </w:rPr>
                    <w:t>約可創造2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億元之潛在產值。</w:t>
                  </w:r>
                </w:p>
              </w:tc>
            </w:tr>
            <w:tr w:rsidR="00F94862" w:rsidRPr="001010C8" w:rsidTr="005554C3">
              <w:trPr>
                <w:trHeight w:val="761"/>
              </w:trPr>
              <w:tc>
                <w:tcPr>
                  <w:tcW w:w="2830" w:type="dxa"/>
                  <w:shd w:val="clear" w:color="auto" w:fill="auto"/>
                  <w:vAlign w:val="center"/>
                </w:tcPr>
                <w:p w:rsidR="00F94862" w:rsidRPr="003374A7" w:rsidRDefault="00F94862" w:rsidP="00751B7F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淺</w:t>
                  </w: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蜊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人工繁殖技術</w:t>
                  </w:r>
                </w:p>
              </w:tc>
              <w:tc>
                <w:tcPr>
                  <w:tcW w:w="5670" w:type="dxa"/>
                  <w:shd w:val="clear" w:color="auto" w:fill="auto"/>
                </w:tcPr>
                <w:p w:rsidR="00F94862" w:rsidRPr="003374A7" w:rsidRDefault="00F94862" w:rsidP="00751B7F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澎湖常見的經濟性二枚貝，市售價格在250～320元</w:t>
                  </w: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之間，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較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市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場常見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小眼花簾</w:t>
                  </w: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蛤</w:t>
                  </w:r>
                  <w:proofErr w:type="gramEnd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俗稱</w:t>
                  </w: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薄殼仔</w:t>
                  </w:r>
                  <w:proofErr w:type="gramEnd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、文蛤等二枚貝價格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高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2～5倍。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農委會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水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產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試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驗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所澎湖海洋生物研究中心已確立淺</w:t>
                  </w: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蜊</w:t>
                  </w:r>
                  <w:proofErr w:type="gramEnd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的人工</w:t>
                  </w: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繁</w:t>
                  </w:r>
                  <w:proofErr w:type="gramEnd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養殖技術，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目前已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成功育成20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萬顆以上的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稚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貝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。</w:t>
                  </w:r>
                </w:p>
              </w:tc>
            </w:tr>
            <w:tr w:rsidR="00F94862" w:rsidRPr="001010C8" w:rsidTr="005554C3">
              <w:trPr>
                <w:trHeight w:val="761"/>
              </w:trPr>
              <w:tc>
                <w:tcPr>
                  <w:tcW w:w="2830" w:type="dxa"/>
                  <w:shd w:val="clear" w:color="auto" w:fill="auto"/>
                  <w:vAlign w:val="center"/>
                </w:tcPr>
                <w:p w:rsidR="00F94862" w:rsidRPr="003374A7" w:rsidRDefault="00F94862" w:rsidP="00751B7F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防治蜜蜂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蜂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蟹</w:t>
                  </w:r>
                  <w:r w:rsidRPr="00A0019F">
                    <w:rPr>
                      <w:rFonts w:ascii="標楷體" w:eastAsia="標楷體" w:hAnsi="標楷體" w:hint="eastAsia"/>
                      <w:szCs w:val="28"/>
                    </w:rPr>
                    <w:t>蟎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天然資材</w:t>
                  </w:r>
                </w:p>
              </w:tc>
              <w:tc>
                <w:tcPr>
                  <w:tcW w:w="5670" w:type="dxa"/>
                  <w:shd w:val="clear" w:color="auto" w:fill="auto"/>
                </w:tcPr>
                <w:p w:rsidR="00F94862" w:rsidRPr="00A535E4" w:rsidRDefault="00F94862" w:rsidP="00751B7F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proofErr w:type="gramStart"/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蜂蟹</w:t>
                  </w:r>
                  <w:proofErr w:type="gramEnd"/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蟎是蜜蜂最嚴重的敵害，每年約造成</w:t>
                  </w:r>
                  <w:r w:rsidRPr="00822613">
                    <w:rPr>
                      <w:rFonts w:ascii="標楷體" w:eastAsia="標楷體" w:hAnsi="標楷體"/>
                      <w:szCs w:val="28"/>
                    </w:rPr>
                    <w:t>30%</w:t>
                  </w:r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的蜂群損失，現行的化學藥劑</w:t>
                  </w:r>
                  <w:r w:rsidRPr="00822613">
                    <w:rPr>
                      <w:rFonts w:ascii="標楷體" w:eastAsia="標楷體" w:hAnsi="標楷體"/>
                      <w:szCs w:val="28"/>
                    </w:rPr>
                    <w:t>-</w:t>
                  </w:r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福化利已因抗藥性而逐漸失去防治效果。百里</w:t>
                  </w:r>
                  <w:proofErr w:type="gramStart"/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酚</w:t>
                  </w:r>
                  <w:proofErr w:type="gramEnd"/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製劑源自香草植物</w:t>
                  </w:r>
                  <w:r w:rsidRPr="00822613">
                    <w:rPr>
                      <w:rFonts w:ascii="標楷體" w:eastAsia="標楷體" w:hAnsi="標楷體"/>
                      <w:szCs w:val="28"/>
                    </w:rPr>
                    <w:t>-</w:t>
                  </w:r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百里香，對蜜蜂與環境都非常友善，而且使用方便又有效，</w:t>
                  </w:r>
                  <w:proofErr w:type="gramStart"/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蜂蟹</w:t>
                  </w:r>
                  <w:proofErr w:type="gramEnd"/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蟎防治率達</w:t>
                  </w:r>
                  <w:r w:rsidRPr="00822613">
                    <w:rPr>
                      <w:rFonts w:ascii="標楷體" w:eastAsia="標楷體" w:hAnsi="標楷體"/>
                      <w:szCs w:val="28"/>
                    </w:rPr>
                    <w:t>90%</w:t>
                  </w:r>
                  <w:r w:rsidRPr="00822613">
                    <w:rPr>
                      <w:rFonts w:ascii="標楷體" w:eastAsia="標楷體" w:hAnsi="標楷體" w:hint="eastAsia"/>
                      <w:szCs w:val="28"/>
                    </w:rPr>
                    <w:t>以上，可改善蜜蜂大量消失的現象。</w:t>
                  </w:r>
                </w:p>
              </w:tc>
            </w:tr>
          </w:tbl>
          <w:p w:rsidR="00F94862" w:rsidRPr="006B3D2B" w:rsidRDefault="00F94862" w:rsidP="00F94862">
            <w:pPr>
              <w:spacing w:afterLines="50" w:after="180"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:rsidR="000D18E5" w:rsidRPr="00F94862" w:rsidRDefault="000D18E5">
      <w:bookmarkStart w:id="0" w:name="_GoBack"/>
      <w:bookmarkEnd w:id="0"/>
    </w:p>
    <w:sectPr w:rsidR="000D18E5" w:rsidRPr="00F948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62"/>
    <w:rsid w:val="000D18E5"/>
    <w:rsid w:val="005554C3"/>
    <w:rsid w:val="00F9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公關科黃添喜</dc:creator>
  <cp:lastModifiedBy>公關科黃添喜</cp:lastModifiedBy>
  <cp:revision>2</cp:revision>
  <dcterms:created xsi:type="dcterms:W3CDTF">2015-03-24T08:21:00Z</dcterms:created>
  <dcterms:modified xsi:type="dcterms:W3CDTF">2015-03-24T08:25:00Z</dcterms:modified>
</cp:coreProperties>
</file>