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C12A" w14:textId="77777777" w:rsidR="00DB5199" w:rsidRPr="00EF6E27" w:rsidRDefault="00DB5199">
      <w:pPr>
        <w:snapToGrid w:val="0"/>
        <w:spacing w:line="600" w:lineRule="exact"/>
        <w:jc w:val="center"/>
        <w:outlineLvl w:val="0"/>
        <w:rPr>
          <w:rFonts w:ascii="標楷體" w:eastAsia="標楷體" w:hAnsi="標楷體" w:hint="eastAsia"/>
          <w:b/>
          <w:color w:val="000000"/>
          <w:sz w:val="36"/>
          <w:szCs w:val="36"/>
        </w:rPr>
      </w:pPr>
      <w:r w:rsidRPr="00EF6E27">
        <w:rPr>
          <w:rFonts w:ascii="標楷體" w:eastAsia="標楷體" w:hAnsi="標楷體" w:hint="eastAsia"/>
          <w:b/>
          <w:color w:val="000000"/>
          <w:sz w:val="36"/>
          <w:szCs w:val="36"/>
        </w:rPr>
        <w:t>全國漁業會議總結論</w:t>
      </w:r>
    </w:p>
    <w:p w14:paraId="3E07391B" w14:textId="77777777" w:rsidR="00DB5199" w:rsidRPr="003F375D" w:rsidRDefault="00DB5199">
      <w:pPr>
        <w:spacing w:line="600" w:lineRule="exact"/>
        <w:jc w:val="both"/>
        <w:rPr>
          <w:rFonts w:ascii="標楷體" w:eastAsia="標楷體" w:hAnsi="標楷體" w:hint="eastAsia"/>
          <w:color w:val="000000"/>
          <w:sz w:val="40"/>
        </w:rPr>
      </w:pPr>
    </w:p>
    <w:p w14:paraId="36269A46" w14:textId="77777777" w:rsidR="00DB5199" w:rsidRPr="00424782" w:rsidRDefault="00DB5199" w:rsidP="00424782">
      <w:pPr>
        <w:pStyle w:val="ac"/>
        <w:spacing w:line="480" w:lineRule="exact"/>
        <w:ind w:leftChars="0" w:left="0"/>
        <w:rPr>
          <w:rFonts w:ascii="標楷體" w:hAnsi="標楷體" w:hint="eastAsia"/>
          <w:color w:val="000000"/>
          <w:szCs w:val="32"/>
        </w:rPr>
      </w:pPr>
      <w:r w:rsidRPr="00424782">
        <w:rPr>
          <w:rFonts w:ascii="標楷體" w:hAnsi="標楷體" w:hint="eastAsia"/>
          <w:color w:val="000000"/>
          <w:szCs w:val="32"/>
        </w:rPr>
        <w:t>本次漁業會議以「健康、效率、永續漁業」為中心議題，分別</w:t>
      </w:r>
      <w:r w:rsidRPr="00424782">
        <w:rPr>
          <w:rFonts w:ascii="標楷體" w:hAnsi="標楷體" w:hint="eastAsia"/>
          <w:color w:val="000000"/>
          <w:kern w:val="0"/>
          <w:szCs w:val="32"/>
        </w:rPr>
        <w:t>針對「</w:t>
      </w:r>
      <w:r w:rsidRPr="00424782">
        <w:rPr>
          <w:rFonts w:ascii="標楷體" w:hAnsi="標楷體" w:hint="eastAsia"/>
          <w:color w:val="000000"/>
          <w:szCs w:val="32"/>
        </w:rPr>
        <w:t>兼顧漁業經營與</w:t>
      </w:r>
      <w:proofErr w:type="gramStart"/>
      <w:r w:rsidRPr="00424782">
        <w:rPr>
          <w:rFonts w:ascii="標楷體" w:hAnsi="標楷體" w:hint="eastAsia"/>
          <w:color w:val="000000"/>
          <w:szCs w:val="32"/>
        </w:rPr>
        <w:t>資源護育</w:t>
      </w:r>
      <w:proofErr w:type="gramEnd"/>
      <w:r w:rsidRPr="00424782">
        <w:rPr>
          <w:rFonts w:ascii="標楷體" w:hAnsi="標楷體" w:hint="eastAsia"/>
          <w:color w:val="000000"/>
          <w:szCs w:val="32"/>
        </w:rPr>
        <w:t>，確保產業永續發展」、「推動兩岸與國際漁業合作，創造互惠雙贏」、「建</w:t>
      </w:r>
      <w:proofErr w:type="gramStart"/>
      <w:r w:rsidRPr="00424782">
        <w:rPr>
          <w:rFonts w:ascii="標楷體" w:hAnsi="標楷體" w:hint="eastAsia"/>
          <w:color w:val="000000"/>
          <w:szCs w:val="32"/>
        </w:rPr>
        <w:t>構魚食安全</w:t>
      </w:r>
      <w:proofErr w:type="gramEnd"/>
      <w:r w:rsidRPr="00424782">
        <w:rPr>
          <w:rFonts w:ascii="標楷體" w:hAnsi="標楷體" w:hint="eastAsia"/>
          <w:color w:val="000000"/>
          <w:szCs w:val="32"/>
        </w:rPr>
        <w:t>與休閒環境，打造樂活生活」及「強化漁民作業安全與福利，提升生活品質」等四大議題進行研討，總結主要重點如下：</w:t>
      </w:r>
    </w:p>
    <w:p w14:paraId="01F944A1" w14:textId="77777777" w:rsidR="00DB5199" w:rsidRPr="00424782" w:rsidRDefault="00DB5199" w:rsidP="00424782">
      <w:pPr>
        <w:pStyle w:val="ac"/>
        <w:spacing w:line="480" w:lineRule="exact"/>
        <w:ind w:leftChars="0" w:left="0"/>
        <w:rPr>
          <w:rFonts w:ascii="標楷體" w:hAnsi="標楷體" w:hint="eastAsia"/>
          <w:color w:val="000000"/>
          <w:szCs w:val="32"/>
        </w:rPr>
      </w:pPr>
    </w:p>
    <w:p w14:paraId="52CA75C1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一、在落實</w:t>
      </w:r>
      <w:proofErr w:type="gramStart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節能減碳與</w:t>
      </w:r>
      <w:proofErr w:type="gramEnd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漁業資源養護方面：</w:t>
      </w:r>
    </w:p>
    <w:p w14:paraId="3C145FD5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(</w:t>
      </w:r>
      <w:proofErr w:type="gramStart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一</w:t>
      </w:r>
      <w:proofErr w:type="gramEnd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)加速調整產業結構，提高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誘因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持續收購漁船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（筏）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與獎勵休漁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，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並鼓勵相關省能源研究及獎勵改裝省能源機具，同時，加強宣導</w:t>
      </w:r>
      <w:proofErr w:type="gramStart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正確操船</w:t>
      </w:r>
      <w:proofErr w:type="gramEnd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、保養及省能源知識，以疏緩對能源消耗及漁業資源過漁的壓力。</w:t>
      </w:r>
    </w:p>
    <w:p w14:paraId="74AD3C60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(二)強化漁業管理與資源培育，增擴建漁政及海巡機關巡護船隊，補助沿近海漁業業者裝設漁船監控系統(VMS)與航程紀錄器(VDR)，且</w:t>
      </w:r>
      <w:r w:rsidR="00B12330" w:rsidRPr="00424782">
        <w:rPr>
          <w:rFonts w:ascii="標楷體" w:eastAsia="標楷體" w:hAnsi="標楷體" w:hint="eastAsia"/>
          <w:color w:val="000000"/>
          <w:sz w:val="32"/>
          <w:szCs w:val="32"/>
        </w:rPr>
        <w:t>在不影響生態環境之前提下，擴大推動漁場改造及種苗放流，並強化棲地保護、資源養護等措施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。</w:t>
      </w:r>
    </w:p>
    <w:p w14:paraId="34F23273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(三)建構資源管理型海洋漁業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，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長期以推動沿近海特定魚種之總容許捕獲量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TAC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，及個別可轉讓配額ITQ制度，</w:t>
      </w:r>
      <w:r w:rsidR="001869C5" w:rsidRPr="00424782">
        <w:rPr>
          <w:rFonts w:ascii="標楷體" w:eastAsia="標楷體" w:hAnsi="標楷體" w:hint="eastAsia"/>
          <w:color w:val="000000"/>
          <w:sz w:val="32"/>
          <w:szCs w:val="32"/>
        </w:rPr>
        <w:t>另輔導漁會取得漁業權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，創造漁業最大經濟價值及維護漁業永續經營。</w:t>
      </w:r>
    </w:p>
    <w:p w14:paraId="4A863E1E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(四)儘速與立法院協商推動「投資經營非我國籍漁船管理條例」完成立法，建立合法對外投資管道。</w:t>
      </w:r>
    </w:p>
    <w:p w14:paraId="1B09E4A9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6595E01D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二、在提升產業競爭力與創造產業價值方面：</w:t>
      </w:r>
    </w:p>
    <w:p w14:paraId="41C3A5A2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lastRenderedPageBreak/>
        <w:t>(</w:t>
      </w:r>
      <w:proofErr w:type="gramStart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一</w:t>
      </w:r>
      <w:proofErr w:type="gramEnd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)維持漁船用柴油14%補貼，並儘速修訂「漁業動力用油優惠油價標準」將漁用汽油納入補貼品項中，降低購油成本。</w:t>
      </w:r>
    </w:p>
    <w:p w14:paraId="09B5FD50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(二)</w:t>
      </w:r>
      <w:r w:rsidR="00BA1478" w:rsidRPr="00424782">
        <w:rPr>
          <w:rFonts w:eastAsia="標楷體" w:hint="eastAsia"/>
          <w:color w:val="000000"/>
          <w:sz w:val="32"/>
          <w:szCs w:val="32"/>
        </w:rPr>
        <w:t>遠洋業者減船代償金延緩償還三年，並辦理定額補助遠洋漁船作業等相關成本，以減輕業者負擔，善用國家漁獲配額，鼓勵遠洋漁船出海作業，維持國際競爭力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；請財經主管機關及金融機構政策支持農委會核准</w:t>
      </w:r>
      <w:proofErr w:type="gramStart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自願性休漁</w:t>
      </w:r>
      <w:proofErr w:type="gramEnd"/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之漁船及持續在海上作業漁船，其貸款契約到期，仍可以繼續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辦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理換單貸款，以紓解資金壓力。</w:t>
      </w:r>
    </w:p>
    <w:p w14:paraId="25C3A827" w14:textId="77777777" w:rsidR="00DB5199" w:rsidRPr="00424782" w:rsidRDefault="00DB5199" w:rsidP="00424782">
      <w:pPr>
        <w:adjustRightInd w:val="0"/>
        <w:snapToGrid w:val="0"/>
        <w:spacing w:line="480" w:lineRule="exact"/>
        <w:ind w:leftChars="150" w:left="1000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(三)持續加強宣導養殖業者，儘速依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「農業動力用電範圍及標準」規定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申請農業動力用電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，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並檢討該規定申請資格，降低業者生產成本</w:t>
      </w:r>
      <w:r w:rsidRPr="00424782">
        <w:rPr>
          <w:rFonts w:ascii="標楷體" w:eastAsia="標楷體" w:hAnsi="標楷體"/>
          <w:color w:val="000000"/>
          <w:sz w:val="32"/>
          <w:szCs w:val="32"/>
        </w:rPr>
        <w:t>。</w:t>
      </w:r>
    </w:p>
    <w:p w14:paraId="5E169B96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四)強化我國參與國際漁業管理組織與漁業資源相關科學研究，擴充國際漁業管理科學研究人力，並推動漁業高科技研發，致力觀賞魚、種苗及種魚等產業發展，使台灣成為「亞太水產種苗中心」，創造產業新價值。</w:t>
      </w:r>
    </w:p>
    <w:p w14:paraId="245BA4E8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bCs/>
          <w:color w:val="000000"/>
        </w:rPr>
      </w:pPr>
      <w:r w:rsidRPr="00424782">
        <w:rPr>
          <w:rFonts w:hint="eastAsia"/>
          <w:color w:val="000000"/>
        </w:rPr>
        <w:t>(五)</w:t>
      </w:r>
      <w:r w:rsidRPr="00424782">
        <w:rPr>
          <w:rFonts w:hint="eastAsia"/>
          <w:bCs/>
          <w:color w:val="000000"/>
        </w:rPr>
        <w:t>加強建設</w:t>
      </w:r>
      <w:r w:rsidRPr="00424782">
        <w:rPr>
          <w:rFonts w:hint="eastAsia"/>
          <w:color w:val="000000"/>
        </w:rPr>
        <w:t>養殖</w:t>
      </w:r>
      <w:r w:rsidRPr="00424782">
        <w:rPr>
          <w:rFonts w:hint="eastAsia"/>
          <w:bCs/>
          <w:color w:val="000000"/>
        </w:rPr>
        <w:t>生產區相關設施、及海水統籌供應系統，有效減緩抽用地下水，</w:t>
      </w:r>
      <w:r w:rsidR="00D207E2" w:rsidRPr="00424782">
        <w:rPr>
          <w:rFonts w:hint="eastAsia"/>
          <w:bCs/>
          <w:color w:val="000000"/>
        </w:rPr>
        <w:t>兼顧產業及環境間和諧</w:t>
      </w:r>
      <w:r w:rsidRPr="00424782">
        <w:rPr>
          <w:rFonts w:hint="eastAsia"/>
          <w:bCs/>
          <w:color w:val="000000"/>
        </w:rPr>
        <w:t>。</w:t>
      </w:r>
    </w:p>
    <w:p w14:paraId="6AD222D5" w14:textId="77777777" w:rsidR="00DB5199" w:rsidRPr="00424782" w:rsidRDefault="00DB5199" w:rsidP="00424782">
      <w:pPr>
        <w:pStyle w:val="a9"/>
        <w:spacing w:afterLines="50" w:after="180" w:line="480" w:lineRule="exact"/>
        <w:rPr>
          <w:rFonts w:hint="eastAsia"/>
          <w:color w:val="000000"/>
        </w:rPr>
      </w:pPr>
    </w:p>
    <w:p w14:paraId="1A8F3B52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三、在推動</w:t>
      </w:r>
      <w:r w:rsidRPr="00424782">
        <w:rPr>
          <w:rFonts w:ascii="標楷體" w:eastAsia="標楷體" w:hAnsi="標楷體" w:hint="eastAsia"/>
          <w:color w:val="000000"/>
          <w:kern w:val="0"/>
          <w:sz w:val="32"/>
          <w:szCs w:val="32"/>
        </w:rPr>
        <w:t>兩岸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漁業</w:t>
      </w:r>
      <w:r w:rsidRPr="00424782">
        <w:rPr>
          <w:rFonts w:ascii="標楷體" w:eastAsia="標楷體" w:hAnsi="標楷體" w:hint="eastAsia"/>
          <w:color w:val="000000"/>
          <w:kern w:val="0"/>
          <w:sz w:val="32"/>
          <w:szCs w:val="32"/>
        </w:rPr>
        <w:t>與國際漁業合作方面</w:t>
      </w: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：</w:t>
      </w:r>
    </w:p>
    <w:p w14:paraId="03E368AC" w14:textId="77777777" w:rsidR="00DB5199" w:rsidRPr="00424782" w:rsidRDefault="00DB5199" w:rsidP="00424782">
      <w:pPr>
        <w:pStyle w:val="a9"/>
        <w:spacing w:afterLines="50" w:after="180"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</w:t>
      </w:r>
      <w:proofErr w:type="gramStart"/>
      <w:r w:rsidRPr="00424782">
        <w:rPr>
          <w:rFonts w:hint="eastAsia"/>
          <w:color w:val="000000"/>
        </w:rPr>
        <w:t>一</w:t>
      </w:r>
      <w:proofErr w:type="gramEnd"/>
      <w:r w:rsidRPr="00424782">
        <w:rPr>
          <w:rFonts w:hint="eastAsia"/>
          <w:color w:val="000000"/>
        </w:rPr>
        <w:t>)建請行政院大陸委員會將兩岸漁業資源管理、漁事糾紛、漁船員僱用、漁產品輸入，以及提升我國參與國際漁業組織等，優先納入兩岸協商議題，創造互惠雙贏。</w:t>
      </w:r>
    </w:p>
    <w:p w14:paraId="46334495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(二)持續與日本協商重疊水域漁業資源使用秩序，並建立台菲、台越、台日漁業合作窗口及漁業諮商管道，協助處</w:t>
      </w:r>
      <w:r w:rsidRPr="00424782">
        <w:rPr>
          <w:rFonts w:hint="eastAsia"/>
          <w:color w:val="000000"/>
        </w:rPr>
        <w:lastRenderedPageBreak/>
        <w:t>理漁業糾紛事宜、建立我國漁船在暫定執法線內作業遭外國扣押案件救助機制，維護漁民作業權益。</w:t>
      </w:r>
    </w:p>
    <w:p w14:paraId="37DAE783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63F06F32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四、在健全漁業勞動力與強化漁業人力資源方面：</w:t>
      </w:r>
    </w:p>
    <w:p w14:paraId="19E6AC81" w14:textId="77777777" w:rsidR="00DB5199" w:rsidRPr="00424782" w:rsidRDefault="00DB5199" w:rsidP="00424782">
      <w:pPr>
        <w:pStyle w:val="a9"/>
        <w:spacing w:afterLines="50" w:after="180"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</w:t>
      </w:r>
      <w:proofErr w:type="gramStart"/>
      <w:r w:rsidRPr="00424782">
        <w:rPr>
          <w:rFonts w:hint="eastAsia"/>
          <w:color w:val="000000"/>
        </w:rPr>
        <w:t>一</w:t>
      </w:r>
      <w:proofErr w:type="gramEnd"/>
      <w:r w:rsidRPr="00424782">
        <w:rPr>
          <w:rFonts w:hint="eastAsia"/>
          <w:color w:val="000000"/>
        </w:rPr>
        <w:t>)</w:t>
      </w:r>
      <w:r w:rsidR="00890594" w:rsidRPr="00424782">
        <w:rPr>
          <w:rFonts w:hint="eastAsia"/>
          <w:color w:val="000000"/>
        </w:rPr>
        <w:t>擴大獎勵國人上船措施，建構完善的培訓制度，提昇漁業勞力素質；儘速推動兩岸船員僱用機制，建立多元僱用管道</w:t>
      </w:r>
      <w:r w:rsidRPr="00424782">
        <w:rPr>
          <w:rFonts w:hint="eastAsia"/>
          <w:color w:val="000000"/>
        </w:rPr>
        <w:t>。</w:t>
      </w:r>
    </w:p>
    <w:p w14:paraId="41749473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(二)</w:t>
      </w:r>
      <w:r w:rsidR="003539FB" w:rsidRPr="00424782">
        <w:rPr>
          <w:rFonts w:hint="eastAsia"/>
          <w:color w:val="000000"/>
        </w:rPr>
        <w:t>擴編漁政單位法律、政治、外語等國際事務人才，以強化漁業涉外談判量能</w:t>
      </w:r>
      <w:r w:rsidRPr="00424782">
        <w:rPr>
          <w:rFonts w:hint="eastAsia"/>
          <w:color w:val="000000"/>
        </w:rPr>
        <w:t>。</w:t>
      </w:r>
    </w:p>
    <w:p w14:paraId="306FD379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4D109EAD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五、在穩定水產品供給與食用安全方面：</w:t>
      </w:r>
    </w:p>
    <w:p w14:paraId="11A424E6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</w:t>
      </w:r>
      <w:proofErr w:type="gramStart"/>
      <w:r w:rsidRPr="00424782">
        <w:rPr>
          <w:rFonts w:hint="eastAsia"/>
          <w:color w:val="000000"/>
        </w:rPr>
        <w:t>一</w:t>
      </w:r>
      <w:proofErr w:type="gramEnd"/>
      <w:r w:rsidRPr="00424782">
        <w:rPr>
          <w:rFonts w:hint="eastAsia"/>
          <w:color w:val="000000"/>
        </w:rPr>
        <w:t>)協助老舊魚市場遷（擴）建，發展大型多功能魚市場，輔導產銷團體增建倉儲設備，強化供銷調配能力。</w:t>
      </w:r>
    </w:p>
    <w:p w14:paraId="61283B0F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(二)建立養殖漁業產銷預警制度，並掌握國內外水產品市場消費趨勢與行情報導，以穩定魚價，並提升魚市場交易量價之正確性。</w:t>
      </w:r>
    </w:p>
    <w:p w14:paraId="5F6E8E6E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(三)推動魚市場衛生化之管理制度，強化魚市場環境及設備。</w:t>
      </w:r>
    </w:p>
    <w:p w14:paraId="2F5B05F4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(四)建立養殖場登錄管理機制，強化業者自主性管理，落實品質監測與監控。</w:t>
      </w:r>
    </w:p>
    <w:p w14:paraId="52001C02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(五)結合專業單位提升水</w:t>
      </w:r>
      <w:r w:rsidR="00E62A15" w:rsidRPr="00424782">
        <w:rPr>
          <w:rFonts w:hint="eastAsia"/>
          <w:color w:val="000000"/>
        </w:rPr>
        <w:t>產品</w:t>
      </w:r>
      <w:r w:rsidR="00B110A8" w:rsidRPr="00424782">
        <w:rPr>
          <w:rFonts w:hint="eastAsia"/>
          <w:color w:val="000000"/>
        </w:rPr>
        <w:t>品質衛生檢驗能力及</w:t>
      </w:r>
      <w:r w:rsidRPr="00424782">
        <w:rPr>
          <w:rFonts w:hint="eastAsia"/>
          <w:color w:val="000000"/>
        </w:rPr>
        <w:t>公信力。</w:t>
      </w:r>
    </w:p>
    <w:p w14:paraId="693F65AC" w14:textId="77777777" w:rsidR="00DB5199" w:rsidRPr="00424782" w:rsidRDefault="00DB5199" w:rsidP="00424782">
      <w:pPr>
        <w:pStyle w:val="a9"/>
        <w:spacing w:line="480" w:lineRule="exact"/>
        <w:ind w:left="962" w:hangingChars="200" w:hanging="640"/>
        <w:rPr>
          <w:rFonts w:hint="eastAsia"/>
          <w:color w:val="000000"/>
        </w:rPr>
      </w:pPr>
      <w:r w:rsidRPr="00424782">
        <w:rPr>
          <w:rFonts w:hint="eastAsia"/>
          <w:color w:val="000000"/>
        </w:rPr>
        <w:t>(六)輔導以CAS、HACCP及產銷履歷制度為基礎之產品品牌化，確保消費者健康。</w:t>
      </w:r>
    </w:p>
    <w:p w14:paraId="402C555F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7FD3E7D6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六、在漁港、漁村轉型與振興方面：</w:t>
      </w:r>
    </w:p>
    <w:p w14:paraId="7F720422" w14:textId="77777777" w:rsidR="00DB5199" w:rsidRPr="00424782" w:rsidRDefault="00DB5199" w:rsidP="00424782">
      <w:pPr>
        <w:pStyle w:val="a7"/>
        <w:spacing w:line="480" w:lineRule="exact"/>
        <w:ind w:leftChars="150" w:left="1000" w:hangingChars="200" w:hanging="640"/>
        <w:rPr>
          <w:rFonts w:ascii="標楷體" w:hAnsi="標楷體" w:hint="eastAsia"/>
          <w:color w:val="000000"/>
          <w:sz w:val="32"/>
          <w:szCs w:val="32"/>
        </w:rPr>
      </w:pPr>
      <w:r w:rsidRPr="00424782">
        <w:rPr>
          <w:rFonts w:ascii="標楷體" w:hAnsi="標楷體" w:hint="eastAsia"/>
          <w:color w:val="000000"/>
          <w:sz w:val="32"/>
          <w:szCs w:val="32"/>
        </w:rPr>
        <w:lastRenderedPageBreak/>
        <w:t>(</w:t>
      </w:r>
      <w:proofErr w:type="gramStart"/>
      <w:r w:rsidRPr="00424782">
        <w:rPr>
          <w:rFonts w:ascii="標楷體" w:hAnsi="標楷體" w:hint="eastAsia"/>
          <w:color w:val="000000"/>
          <w:sz w:val="32"/>
          <w:szCs w:val="32"/>
        </w:rPr>
        <w:t>一</w:t>
      </w:r>
      <w:proofErr w:type="gramEnd"/>
      <w:r w:rsidRPr="00424782">
        <w:rPr>
          <w:rFonts w:ascii="標楷體" w:hAnsi="標楷體" w:hint="eastAsia"/>
          <w:color w:val="000000"/>
          <w:sz w:val="32"/>
          <w:szCs w:val="32"/>
        </w:rPr>
        <w:t>)加強航道及港區疏浚，維護漁港基本功能，輔導低度利用漁港轉型，推動漁港功能多元化，確保漁民作業安全及創造漁港多元價值。</w:t>
      </w:r>
    </w:p>
    <w:p w14:paraId="5415953F" w14:textId="77777777" w:rsidR="00DB5199" w:rsidRPr="00424782" w:rsidRDefault="00DB5199" w:rsidP="00424782">
      <w:pPr>
        <w:pStyle w:val="a7"/>
        <w:spacing w:line="480" w:lineRule="exact"/>
        <w:ind w:leftChars="150" w:left="1000" w:hangingChars="200" w:hanging="640"/>
        <w:rPr>
          <w:rFonts w:ascii="標楷體" w:hAnsi="標楷體" w:hint="eastAsia"/>
          <w:color w:val="000000"/>
          <w:sz w:val="32"/>
          <w:szCs w:val="32"/>
        </w:rPr>
      </w:pPr>
      <w:r w:rsidRPr="00424782">
        <w:rPr>
          <w:rFonts w:ascii="標楷體" w:hAnsi="標楷體" w:hint="eastAsia"/>
          <w:color w:val="000000"/>
          <w:sz w:val="32"/>
          <w:szCs w:val="32"/>
        </w:rPr>
        <w:t>(二)辦理漁村相關軟、硬體公共建設，改善漁村生活環境。</w:t>
      </w:r>
    </w:p>
    <w:p w14:paraId="5B0B6654" w14:textId="77777777" w:rsidR="00DB5199" w:rsidRPr="00424782" w:rsidRDefault="00DB5199" w:rsidP="00424782">
      <w:pPr>
        <w:pStyle w:val="a7"/>
        <w:spacing w:line="480" w:lineRule="exact"/>
        <w:ind w:leftChars="150" w:left="1000" w:hangingChars="200" w:hanging="640"/>
        <w:rPr>
          <w:rFonts w:ascii="標楷體" w:hAnsi="標楷體" w:hint="eastAsia"/>
          <w:color w:val="000000"/>
          <w:sz w:val="32"/>
          <w:szCs w:val="32"/>
        </w:rPr>
      </w:pPr>
      <w:r w:rsidRPr="00424782">
        <w:rPr>
          <w:rFonts w:ascii="標楷體" w:hAnsi="標楷體" w:hint="eastAsia"/>
          <w:color w:val="000000"/>
          <w:sz w:val="32"/>
          <w:szCs w:val="32"/>
        </w:rPr>
        <w:t>(三)整合現有漁村社區發展相關組織，加強漁村人員之觀光休閒專業素養與經營能力，結合觀光單位策略聯盟，帶動漁村休閒旅遊事業之發展。</w:t>
      </w:r>
    </w:p>
    <w:p w14:paraId="5F61998D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3E4CABC9" w14:textId="77777777" w:rsidR="00DB5199" w:rsidRPr="00424782" w:rsidRDefault="00DB5199" w:rsidP="00424782">
      <w:pPr>
        <w:adjustRightInd w:val="0"/>
        <w:snapToGrid w:val="0"/>
        <w:spacing w:line="480" w:lineRule="exact"/>
        <w:ind w:leftChars="-8" w:left="621" w:rightChars="20" w:right="48" w:hangingChars="200" w:hanging="640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424782">
        <w:rPr>
          <w:rFonts w:ascii="標楷體" w:eastAsia="標楷體" w:hAnsi="標楷體" w:hint="eastAsia"/>
          <w:color w:val="000000"/>
          <w:sz w:val="32"/>
          <w:szCs w:val="32"/>
        </w:rPr>
        <w:t>七、在健全漁會組織與提升漁民福利方面：</w:t>
      </w:r>
    </w:p>
    <w:p w14:paraId="1E6717A3" w14:textId="77777777" w:rsidR="00DB5199" w:rsidRPr="00424782" w:rsidRDefault="00DB5199" w:rsidP="00424782">
      <w:pPr>
        <w:pStyle w:val="a7"/>
        <w:spacing w:line="480" w:lineRule="exact"/>
        <w:ind w:leftChars="150" w:left="1000" w:hangingChars="200" w:hanging="640"/>
        <w:rPr>
          <w:rFonts w:ascii="標楷體" w:hAnsi="標楷體" w:hint="eastAsia"/>
          <w:color w:val="000000"/>
          <w:sz w:val="32"/>
          <w:szCs w:val="32"/>
        </w:rPr>
      </w:pPr>
      <w:r w:rsidRPr="00424782">
        <w:rPr>
          <w:rFonts w:ascii="標楷體" w:hAnsi="標楷體" w:hint="eastAsia"/>
          <w:color w:val="000000"/>
          <w:sz w:val="32"/>
          <w:szCs w:val="32"/>
        </w:rPr>
        <w:t>(</w:t>
      </w:r>
      <w:proofErr w:type="gramStart"/>
      <w:r w:rsidRPr="00424782">
        <w:rPr>
          <w:rFonts w:ascii="標楷體" w:hAnsi="標楷體" w:hint="eastAsia"/>
          <w:color w:val="000000"/>
          <w:sz w:val="32"/>
          <w:szCs w:val="32"/>
        </w:rPr>
        <w:t>一</w:t>
      </w:r>
      <w:proofErr w:type="gramEnd"/>
      <w:r w:rsidRPr="00424782">
        <w:rPr>
          <w:rFonts w:ascii="標楷體" w:hAnsi="標楷體" w:hint="eastAsia"/>
          <w:color w:val="000000"/>
          <w:sz w:val="32"/>
          <w:szCs w:val="32"/>
        </w:rPr>
        <w:t>)檢討漁會現行相關法規，輔導漁會健全財務及擴大</w:t>
      </w:r>
      <w:r w:rsidRPr="00424782">
        <w:rPr>
          <w:rFonts w:ascii="標楷體" w:hAnsi="標楷體"/>
          <w:color w:val="000000"/>
          <w:sz w:val="32"/>
          <w:szCs w:val="32"/>
        </w:rPr>
        <w:t>進用專業經理人</w:t>
      </w:r>
      <w:r w:rsidRPr="00424782">
        <w:rPr>
          <w:rFonts w:ascii="標楷體" w:hAnsi="標楷體" w:hint="eastAsia"/>
          <w:color w:val="000000"/>
          <w:sz w:val="32"/>
          <w:szCs w:val="32"/>
        </w:rPr>
        <w:t>管道，並加強漁業團體教育訓練工作，厚植專業素質，以提升服務漁民量能。</w:t>
      </w:r>
    </w:p>
    <w:p w14:paraId="740284FB" w14:textId="77777777" w:rsidR="00DB5199" w:rsidRPr="00424782" w:rsidRDefault="00DB5199" w:rsidP="00424782">
      <w:pPr>
        <w:pStyle w:val="a7"/>
        <w:spacing w:line="480" w:lineRule="exact"/>
        <w:ind w:leftChars="150" w:left="1000" w:hangingChars="200" w:hanging="640"/>
        <w:rPr>
          <w:rFonts w:ascii="標楷體" w:hAnsi="標楷體" w:hint="eastAsia"/>
          <w:color w:val="000000"/>
          <w:sz w:val="32"/>
          <w:szCs w:val="32"/>
        </w:rPr>
      </w:pPr>
      <w:r w:rsidRPr="00424782">
        <w:rPr>
          <w:rFonts w:ascii="標楷體" w:hAnsi="標楷體" w:hint="eastAsia"/>
          <w:color w:val="000000"/>
          <w:sz w:val="32"/>
          <w:szCs w:val="32"/>
        </w:rPr>
        <w:t>(二)</w:t>
      </w:r>
      <w:r w:rsidR="00AD13BB" w:rsidRPr="00424782">
        <w:rPr>
          <w:rFonts w:ascii="標楷體" w:hAnsi="標楷體" w:hint="eastAsia"/>
          <w:color w:val="000000"/>
          <w:sz w:val="32"/>
          <w:szCs w:val="32"/>
        </w:rPr>
        <w:t>重新檢討漁民(船)保險制度，適度提高投保金額</w:t>
      </w:r>
      <w:r w:rsidR="00F54773" w:rsidRPr="00424782">
        <w:rPr>
          <w:rFonts w:ascii="標楷體" w:hAnsi="標楷體" w:hint="eastAsia"/>
          <w:color w:val="000000"/>
          <w:sz w:val="32"/>
          <w:szCs w:val="32"/>
        </w:rPr>
        <w:t>；</w:t>
      </w:r>
      <w:r w:rsidR="00AD13BB" w:rsidRPr="00424782">
        <w:rPr>
          <w:rFonts w:ascii="標楷體" w:hAnsi="標楷體" w:hint="eastAsia"/>
          <w:color w:val="000000"/>
          <w:sz w:val="32"/>
          <w:szCs w:val="32"/>
        </w:rPr>
        <w:t>考量漁業</w:t>
      </w:r>
      <w:r w:rsidR="00F54773" w:rsidRPr="00424782">
        <w:rPr>
          <w:rFonts w:ascii="標楷體" w:hAnsi="標楷體" w:hint="eastAsia"/>
          <w:color w:val="000000"/>
          <w:sz w:val="32"/>
          <w:szCs w:val="32"/>
        </w:rPr>
        <w:t>作業</w:t>
      </w:r>
      <w:r w:rsidR="00AD13BB" w:rsidRPr="00424782">
        <w:rPr>
          <w:rFonts w:ascii="標楷體" w:hAnsi="標楷體" w:hint="eastAsia"/>
          <w:color w:val="000000"/>
          <w:sz w:val="32"/>
          <w:szCs w:val="32"/>
        </w:rPr>
        <w:t>特性，請勞委會檢討修正</w:t>
      </w:r>
      <w:r w:rsidR="00F54773" w:rsidRPr="00424782">
        <w:rPr>
          <w:rFonts w:ascii="標楷體" w:hAnsi="標楷體" w:hint="eastAsia"/>
          <w:color w:val="000000"/>
          <w:sz w:val="32"/>
          <w:szCs w:val="32"/>
        </w:rPr>
        <w:t>漁民投保</w:t>
      </w:r>
      <w:r w:rsidR="003F375D" w:rsidRPr="00424782">
        <w:rPr>
          <w:rFonts w:ascii="標楷體" w:hAnsi="標楷體" w:hint="eastAsia"/>
          <w:color w:val="000000"/>
          <w:sz w:val="32"/>
          <w:szCs w:val="32"/>
        </w:rPr>
        <w:t>薪資</w:t>
      </w:r>
      <w:r w:rsidR="00F54773" w:rsidRPr="00424782">
        <w:rPr>
          <w:rFonts w:ascii="標楷體" w:hAnsi="標楷體" w:hint="eastAsia"/>
          <w:color w:val="000000"/>
          <w:sz w:val="32"/>
          <w:szCs w:val="32"/>
        </w:rPr>
        <w:t>之審查機制</w:t>
      </w:r>
      <w:r w:rsidR="00AD13BB" w:rsidRPr="00424782">
        <w:rPr>
          <w:rFonts w:ascii="標楷體" w:hAnsi="標楷體" w:hint="eastAsia"/>
          <w:color w:val="000000"/>
          <w:sz w:val="32"/>
          <w:szCs w:val="32"/>
        </w:rPr>
        <w:t>。</w:t>
      </w:r>
    </w:p>
    <w:p w14:paraId="1FB476F0" w14:textId="77777777" w:rsidR="00DB5199" w:rsidRPr="00424782" w:rsidRDefault="00DB5199" w:rsidP="00424782">
      <w:pPr>
        <w:pStyle w:val="a7"/>
        <w:spacing w:line="480" w:lineRule="exact"/>
        <w:ind w:leftChars="150" w:left="1000" w:hangingChars="200" w:hanging="640"/>
        <w:rPr>
          <w:rFonts w:ascii="標楷體" w:hAnsi="標楷體" w:hint="eastAsia"/>
          <w:color w:val="000000"/>
          <w:sz w:val="32"/>
          <w:szCs w:val="32"/>
        </w:rPr>
      </w:pPr>
      <w:r w:rsidRPr="00424782">
        <w:rPr>
          <w:rFonts w:ascii="標楷體" w:hAnsi="標楷體" w:hint="eastAsia"/>
          <w:color w:val="000000"/>
          <w:sz w:val="32"/>
          <w:szCs w:val="32"/>
        </w:rPr>
        <w:t>(三)請衛生署建構海上作業漁船通訊醫療諮詢體系，並輔導遠洋漁船全面配置醫療救護箱。</w:t>
      </w:r>
    </w:p>
    <w:sectPr w:rsidR="00DB5199" w:rsidRPr="00424782">
      <w:footerReference w:type="even" r:id="rId7"/>
      <w:footerReference w:type="default" r:id="rId8"/>
      <w:pgSz w:w="11906" w:h="16838" w:code="9"/>
      <w:pgMar w:top="1871" w:right="1588" w:bottom="187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C8975" w14:textId="77777777" w:rsidR="00A85BA0" w:rsidRDefault="00A85BA0">
      <w:r>
        <w:separator/>
      </w:r>
    </w:p>
  </w:endnote>
  <w:endnote w:type="continuationSeparator" w:id="0">
    <w:p w14:paraId="7D897407" w14:textId="77777777" w:rsidR="00A85BA0" w:rsidRDefault="00A8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C592" w14:textId="77777777" w:rsidR="00586CB2" w:rsidRDefault="00586CB2">
    <w:pPr>
      <w:pStyle w:val="a4"/>
      <w:framePr w:wrap="around" w:vAnchor="text" w:hAnchor="margin" w:xAlign="center" w:y="1"/>
      <w:textDirection w:val="btL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FE63A2" w14:textId="77777777" w:rsidR="00586CB2" w:rsidRDefault="00586CB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5CE0" w14:textId="77777777" w:rsidR="00586CB2" w:rsidRDefault="00586CB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4782">
      <w:rPr>
        <w:rStyle w:val="a5"/>
        <w:noProof/>
      </w:rPr>
      <w:t>1</w:t>
    </w:r>
    <w:r>
      <w:rPr>
        <w:rStyle w:val="a5"/>
      </w:rPr>
      <w:fldChar w:fldCharType="end"/>
    </w:r>
  </w:p>
  <w:p w14:paraId="395ECF46" w14:textId="77777777" w:rsidR="00586CB2" w:rsidRDefault="00586CB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6C06F" w14:textId="77777777" w:rsidR="00A85BA0" w:rsidRDefault="00A85BA0">
      <w:r>
        <w:separator/>
      </w:r>
    </w:p>
  </w:footnote>
  <w:footnote w:type="continuationSeparator" w:id="0">
    <w:p w14:paraId="361F5E11" w14:textId="77777777" w:rsidR="00A85BA0" w:rsidRDefault="00A85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080"/>
    <w:multiLevelType w:val="hybridMultilevel"/>
    <w:tmpl w:val="4732C202"/>
    <w:lvl w:ilvl="0" w:tplc="4246D998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1" w15:restartNumberingAfterBreak="0">
    <w:nsid w:val="09F778A3"/>
    <w:multiLevelType w:val="hybridMultilevel"/>
    <w:tmpl w:val="D690CE8E"/>
    <w:lvl w:ilvl="0" w:tplc="A8F8B052">
      <w:start w:val="1"/>
      <w:numFmt w:val="taiwaneseCountingThousand"/>
      <w:lvlText w:val="%1、"/>
      <w:lvlJc w:val="left"/>
      <w:pPr>
        <w:tabs>
          <w:tab w:val="num" w:pos="2122"/>
        </w:tabs>
        <w:ind w:left="212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2"/>
        </w:tabs>
        <w:ind w:left="23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2"/>
        </w:tabs>
        <w:ind w:left="28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2"/>
        </w:tabs>
        <w:ind w:left="33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2"/>
        </w:tabs>
        <w:ind w:left="38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2"/>
        </w:tabs>
        <w:ind w:left="47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2"/>
        </w:tabs>
        <w:ind w:left="52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2"/>
        </w:tabs>
        <w:ind w:left="5722" w:hanging="480"/>
      </w:pPr>
    </w:lvl>
  </w:abstractNum>
  <w:abstractNum w:abstractNumId="2" w15:restartNumberingAfterBreak="0">
    <w:nsid w:val="1D2543B3"/>
    <w:multiLevelType w:val="hybridMultilevel"/>
    <w:tmpl w:val="E14819A2"/>
    <w:lvl w:ilvl="0" w:tplc="B0B82C6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2721E19"/>
    <w:multiLevelType w:val="hybridMultilevel"/>
    <w:tmpl w:val="F45E7296"/>
    <w:lvl w:ilvl="0" w:tplc="9E6C15A6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4" w15:restartNumberingAfterBreak="0">
    <w:nsid w:val="2ED43E44"/>
    <w:multiLevelType w:val="hybridMultilevel"/>
    <w:tmpl w:val="529A65E4"/>
    <w:lvl w:ilvl="0" w:tplc="A6407B4A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32151544"/>
    <w:multiLevelType w:val="hybridMultilevel"/>
    <w:tmpl w:val="8C4840A4"/>
    <w:lvl w:ilvl="0" w:tplc="13AC01FC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6" w15:restartNumberingAfterBreak="0">
    <w:nsid w:val="333F3951"/>
    <w:multiLevelType w:val="hybridMultilevel"/>
    <w:tmpl w:val="678E2A40"/>
    <w:lvl w:ilvl="0" w:tplc="95E63A00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7" w15:restartNumberingAfterBreak="0">
    <w:nsid w:val="36D1228E"/>
    <w:multiLevelType w:val="hybridMultilevel"/>
    <w:tmpl w:val="44C6CA3A"/>
    <w:lvl w:ilvl="0" w:tplc="D4D6B228">
      <w:start w:val="1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abstractNum w:abstractNumId="8" w15:restartNumberingAfterBreak="0">
    <w:nsid w:val="40E67E5C"/>
    <w:multiLevelType w:val="hybridMultilevel"/>
    <w:tmpl w:val="3F0AB16C"/>
    <w:lvl w:ilvl="0" w:tplc="3DF09BB0">
      <w:start w:val="1"/>
      <w:numFmt w:val="taiwaneseCountingThousand"/>
      <w:lvlText w:val="%1、"/>
      <w:lvlJc w:val="left"/>
      <w:pPr>
        <w:tabs>
          <w:tab w:val="num" w:pos="1110"/>
        </w:tabs>
        <w:ind w:left="1110" w:hanging="7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9" w15:restartNumberingAfterBreak="0">
    <w:nsid w:val="4A171C45"/>
    <w:multiLevelType w:val="hybridMultilevel"/>
    <w:tmpl w:val="6C6A8C0E"/>
    <w:lvl w:ilvl="0" w:tplc="B0B82C6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4050099"/>
    <w:multiLevelType w:val="hybridMultilevel"/>
    <w:tmpl w:val="C4A0CD9E"/>
    <w:lvl w:ilvl="0" w:tplc="DE5CFC96">
      <w:start w:val="1"/>
      <w:numFmt w:val="taiwaneseCountingThousand"/>
      <w:lvlText w:val="%1、"/>
      <w:lvlJc w:val="left"/>
      <w:pPr>
        <w:tabs>
          <w:tab w:val="num" w:pos="2285"/>
        </w:tabs>
        <w:ind w:left="2285" w:hanging="720"/>
      </w:pPr>
      <w:rPr>
        <w:rFonts w:eastAsia="新細明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5"/>
        </w:tabs>
        <w:ind w:left="25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5"/>
        </w:tabs>
        <w:ind w:left="30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5"/>
        </w:tabs>
        <w:ind w:left="34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5"/>
        </w:tabs>
        <w:ind w:left="39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5"/>
        </w:tabs>
        <w:ind w:left="44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5"/>
        </w:tabs>
        <w:ind w:left="49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5"/>
        </w:tabs>
        <w:ind w:left="54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5"/>
        </w:tabs>
        <w:ind w:left="5885" w:hanging="480"/>
      </w:pPr>
    </w:lvl>
  </w:abstractNum>
  <w:abstractNum w:abstractNumId="11" w15:restartNumberingAfterBreak="0">
    <w:nsid w:val="5B9410AC"/>
    <w:multiLevelType w:val="hybridMultilevel"/>
    <w:tmpl w:val="675CA322"/>
    <w:lvl w:ilvl="0" w:tplc="4588F5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hAnsi="Arial Unicode MS" w:cs="Arial Unicode MS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CBB4091"/>
    <w:multiLevelType w:val="hybridMultilevel"/>
    <w:tmpl w:val="B7AE0A18"/>
    <w:lvl w:ilvl="0" w:tplc="8020F2CA">
      <w:start w:val="1"/>
      <w:numFmt w:val="taiwaneseCountingThousand"/>
      <w:lvlText w:val="%1、"/>
      <w:lvlJc w:val="left"/>
      <w:pPr>
        <w:tabs>
          <w:tab w:val="num" w:pos="750"/>
        </w:tabs>
        <w:ind w:left="750" w:hanging="7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8F95CEF"/>
    <w:multiLevelType w:val="hybridMultilevel"/>
    <w:tmpl w:val="F516EC66"/>
    <w:lvl w:ilvl="0" w:tplc="4588F5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hAnsi="Arial Unicode MS" w:cs="Arial Unicode MS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1BB62C0"/>
    <w:multiLevelType w:val="hybridMultilevel"/>
    <w:tmpl w:val="B9FEEDD6"/>
    <w:lvl w:ilvl="0" w:tplc="6A165F2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44952F0"/>
    <w:multiLevelType w:val="hybridMultilevel"/>
    <w:tmpl w:val="8FD098F6"/>
    <w:lvl w:ilvl="0" w:tplc="C7A0EB1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16" w15:restartNumberingAfterBreak="0">
    <w:nsid w:val="7E3C10B6"/>
    <w:multiLevelType w:val="hybridMultilevel"/>
    <w:tmpl w:val="8D7E858E"/>
    <w:lvl w:ilvl="0" w:tplc="070CAF8E">
      <w:start w:val="4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9"/>
  </w:num>
  <w:num w:numId="5">
    <w:abstractNumId w:val="14"/>
  </w:num>
  <w:num w:numId="6">
    <w:abstractNumId w:val="4"/>
  </w:num>
  <w:num w:numId="7">
    <w:abstractNumId w:val="0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  <w:num w:numId="12">
    <w:abstractNumId w:val="15"/>
  </w:num>
  <w:num w:numId="13">
    <w:abstractNumId w:val="10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7B"/>
    <w:rsid w:val="000449C7"/>
    <w:rsid w:val="001869C5"/>
    <w:rsid w:val="002B3645"/>
    <w:rsid w:val="003539FB"/>
    <w:rsid w:val="003C4B7C"/>
    <w:rsid w:val="003F375D"/>
    <w:rsid w:val="00424782"/>
    <w:rsid w:val="00515D2A"/>
    <w:rsid w:val="00563C2D"/>
    <w:rsid w:val="00586CB2"/>
    <w:rsid w:val="00656C7B"/>
    <w:rsid w:val="006A69A3"/>
    <w:rsid w:val="00890594"/>
    <w:rsid w:val="00A85BA0"/>
    <w:rsid w:val="00AB3540"/>
    <w:rsid w:val="00AD13BB"/>
    <w:rsid w:val="00B110A8"/>
    <w:rsid w:val="00B12330"/>
    <w:rsid w:val="00B402AA"/>
    <w:rsid w:val="00B722B5"/>
    <w:rsid w:val="00BA1478"/>
    <w:rsid w:val="00C955E2"/>
    <w:rsid w:val="00D207E2"/>
    <w:rsid w:val="00DA4BD4"/>
    <w:rsid w:val="00DB5199"/>
    <w:rsid w:val="00E62A15"/>
    <w:rsid w:val="00EF6E27"/>
    <w:rsid w:val="00F22FF8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E2C40"/>
  <w15:chartTrackingRefBased/>
  <w15:docId w15:val="{472484C4-AF53-45F8-A4F4-13691BCE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(一)內文"/>
    <w:basedOn w:val="a"/>
    <w:pPr>
      <w:spacing w:line="560" w:lineRule="exact"/>
      <w:ind w:left="966" w:hanging="308"/>
      <w:jc w:val="both"/>
    </w:pPr>
    <w:rPr>
      <w:rFonts w:eastAsia="標楷體"/>
      <w:sz w:val="32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left="614" w:hangingChars="192" w:hanging="614"/>
    </w:pPr>
    <w:rPr>
      <w:rFonts w:ascii="標楷體" w:eastAsia="標楷體" w:hAnsi="Arial" w:cs="Arial"/>
      <w:snapToGrid w:val="0"/>
      <w:kern w:val="0"/>
      <w:sz w:val="32"/>
    </w:rPr>
  </w:style>
  <w:style w:type="paragraph" w:customStyle="1" w:styleId="C">
    <w:name w:val="C"/>
    <w:basedOn w:val="a"/>
    <w:pPr>
      <w:adjustRightInd w:val="0"/>
      <w:snapToGrid w:val="0"/>
      <w:spacing w:beforeLines="40" w:before="144" w:line="440" w:lineRule="exact"/>
      <w:ind w:left="840" w:hangingChars="300" w:hanging="840"/>
      <w:jc w:val="both"/>
    </w:pPr>
    <w:rPr>
      <w:rFonts w:eastAsia="標楷體"/>
      <w:sz w:val="28"/>
    </w:rPr>
  </w:style>
  <w:style w:type="paragraph" w:styleId="2">
    <w:name w:val="Body Text Indent 2"/>
    <w:basedOn w:val="a"/>
    <w:pPr>
      <w:spacing w:line="440" w:lineRule="exact"/>
      <w:ind w:left="640" w:hangingChars="200" w:hanging="640"/>
      <w:jc w:val="both"/>
    </w:pPr>
    <w:rPr>
      <w:rFonts w:ascii="標楷體" w:eastAsia="標楷體"/>
      <w:sz w:val="32"/>
    </w:rPr>
  </w:style>
  <w:style w:type="paragraph" w:styleId="a7">
    <w:name w:val="Body Text"/>
    <w:basedOn w:val="a"/>
    <w:pPr>
      <w:widowControl/>
      <w:adjustRightInd w:val="0"/>
      <w:snapToGrid w:val="0"/>
      <w:spacing w:line="440" w:lineRule="exact"/>
      <w:jc w:val="both"/>
    </w:pPr>
    <w:rPr>
      <w:rFonts w:eastAsia="標楷體"/>
      <w:sz w:val="28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1">
    <w:name w:val="1.內文"/>
    <w:basedOn w:val="3"/>
    <w:pPr>
      <w:spacing w:after="0" w:line="560" w:lineRule="exact"/>
      <w:ind w:leftChars="401" w:left="1282" w:hangingChars="100" w:hanging="320"/>
      <w:jc w:val="both"/>
    </w:pPr>
    <w:rPr>
      <w:rFonts w:eastAsia="標楷體"/>
      <w:sz w:val="32"/>
      <w:szCs w:val="20"/>
    </w:rPr>
  </w:style>
  <w:style w:type="paragraph" w:customStyle="1" w:styleId="a9">
    <w:name w:val="一．內文"/>
    <w:basedOn w:val="a7"/>
    <w:pPr>
      <w:spacing w:line="500" w:lineRule="exact"/>
      <w:ind w:leftChars="134" w:left="965" w:hangingChars="201" w:hanging="643"/>
    </w:pPr>
    <w:rPr>
      <w:rFonts w:ascii="標楷體" w:hAnsi="標楷體"/>
      <w:sz w:val="32"/>
      <w:szCs w:val="32"/>
    </w:rPr>
  </w:style>
  <w:style w:type="paragraph" w:customStyle="1" w:styleId="aa">
    <w:name w:val="十一．內文"/>
    <w:basedOn w:val="a7"/>
    <w:pPr>
      <w:spacing w:line="500" w:lineRule="exact"/>
      <w:ind w:leftChars="134" w:left="1272" w:hangingChars="297" w:hanging="950"/>
    </w:pPr>
    <w:rPr>
      <w:rFonts w:ascii="標楷體" w:hAnsi="標楷體"/>
      <w:sz w:val="32"/>
      <w:szCs w:val="32"/>
    </w:rPr>
  </w:style>
  <w:style w:type="paragraph" w:styleId="3">
    <w:name w:val="Body Text Indent 3"/>
    <w:basedOn w:val="a"/>
    <w:pPr>
      <w:spacing w:after="120"/>
      <w:ind w:leftChars="200" w:left="480"/>
    </w:pPr>
    <w:rPr>
      <w:sz w:val="16"/>
      <w:szCs w:val="16"/>
    </w:rPr>
  </w:style>
  <w:style w:type="paragraph" w:customStyle="1" w:styleId="ab">
    <w:name w:val="齊頭"/>
    <w:basedOn w:val="a"/>
    <w:pPr>
      <w:spacing w:line="700" w:lineRule="exact"/>
    </w:pPr>
    <w:rPr>
      <w:rFonts w:eastAsia="標楷體"/>
      <w:sz w:val="36"/>
    </w:rPr>
  </w:style>
  <w:style w:type="paragraph" w:customStyle="1" w:styleId="ac">
    <w:name w:val="齊頭分段"/>
    <w:basedOn w:val="1"/>
    <w:pPr>
      <w:adjustRightInd w:val="0"/>
      <w:snapToGrid w:val="0"/>
      <w:spacing w:line="500" w:lineRule="exact"/>
      <w:ind w:leftChars="134" w:left="322" w:right="23" w:firstLineChars="200" w:firstLine="640"/>
    </w:pPr>
  </w:style>
  <w:style w:type="paragraph" w:styleId="ad">
    <w:name w:val="Block Text"/>
    <w:basedOn w:val="a"/>
    <w:pPr>
      <w:adjustRightInd w:val="0"/>
      <w:snapToGrid w:val="0"/>
      <w:spacing w:line="400" w:lineRule="exact"/>
      <w:ind w:leftChars="583" w:left="1435" w:rightChars="20" w:right="48" w:hangingChars="13" w:hanging="36"/>
      <w:jc w:val="both"/>
    </w:pPr>
    <w:rPr>
      <w:rFonts w:ascii="標楷體" w:eastAsia="標楷體" w:hAnsi="標楷體"/>
      <w:sz w:val="28"/>
      <w:szCs w:val="24"/>
    </w:rPr>
  </w:style>
  <w:style w:type="paragraph" w:customStyle="1" w:styleId="10">
    <w:name w:val="本文+1"/>
    <w:basedOn w:val="a"/>
    <w:next w:val="a"/>
    <w:pPr>
      <w:autoSpaceDE w:val="0"/>
      <w:autoSpaceDN w:val="0"/>
      <w:adjustRightInd w:val="0"/>
    </w:pPr>
    <w:rPr>
      <w:rFonts w:ascii="標楷體" w:eastAsia="標楷體"/>
      <w:kern w:val="0"/>
      <w:szCs w:val="24"/>
    </w:rPr>
  </w:style>
  <w:style w:type="paragraph" w:styleId="ae">
    <w:name w:val="Balloon Text"/>
    <w:basedOn w:val="a"/>
    <w:semiHidden/>
    <w:rsid w:val="00AD13B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1582</Characters>
  <Application>Microsoft Office Word</Application>
  <DocSecurity>0</DocSecurity>
  <Lines>13</Lines>
  <Paragraphs>3</Paragraphs>
  <ScaleCrop>false</ScaleCrop>
  <Company>coa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第一議題：建構農業加值體系，開創農業優勢布局</dc:title>
  <dc:subject/>
  <dc:creator>aa</dc:creator>
  <cp:keywords/>
  <dc:description/>
  <cp:lastModifiedBy>Emma</cp:lastModifiedBy>
  <cp:revision>2</cp:revision>
  <cp:lastPrinted>2008-08-11T09:59:00Z</cp:lastPrinted>
  <dcterms:created xsi:type="dcterms:W3CDTF">2021-06-20T05:41:00Z</dcterms:created>
  <dcterms:modified xsi:type="dcterms:W3CDTF">2021-06-20T05:41:00Z</dcterms:modified>
</cp:coreProperties>
</file>