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56720" w14:textId="77777777" w:rsidR="00505734" w:rsidRDefault="001A1C7F" w:rsidP="00D923FF">
      <w:pPr>
        <w:adjustRightInd w:val="0"/>
        <w:snapToGrid w:val="0"/>
        <w:spacing w:afterLines="100" w:after="360" w:line="320" w:lineRule="exact"/>
        <w:jc w:val="center"/>
        <w:rPr>
          <w:rFonts w:eastAsia="標楷體" w:hint="eastAsia"/>
          <w:bCs/>
          <w:sz w:val="32"/>
          <w:szCs w:val="32"/>
        </w:rPr>
      </w:pPr>
      <w:r>
        <w:rPr>
          <w:rFonts w:eastAsia="標楷體" w:hint="eastAsia"/>
          <w:bCs/>
          <w:sz w:val="32"/>
          <w:szCs w:val="32"/>
        </w:rPr>
        <w:t>紅龍果記者會參考資料</w:t>
      </w:r>
    </w:p>
    <w:p w14:paraId="713236AD" w14:textId="77777777" w:rsidR="00D923FF" w:rsidRDefault="00D923FF" w:rsidP="00D923FF">
      <w:pPr>
        <w:adjustRightInd w:val="0"/>
        <w:snapToGrid w:val="0"/>
        <w:spacing w:afterLines="100" w:after="360" w:line="320" w:lineRule="exact"/>
        <w:jc w:val="right"/>
        <w:rPr>
          <w:rFonts w:eastAsia="標楷體" w:hint="eastAsia"/>
          <w:bCs/>
          <w:sz w:val="32"/>
          <w:szCs w:val="32"/>
        </w:rPr>
      </w:pPr>
      <w:proofErr w:type="gramStart"/>
      <w:r>
        <w:rPr>
          <w:rFonts w:eastAsia="標楷體" w:hint="eastAsia"/>
          <w:bCs/>
          <w:sz w:val="32"/>
          <w:szCs w:val="32"/>
        </w:rPr>
        <w:t>農糧署</w:t>
      </w:r>
      <w:proofErr w:type="gramEnd"/>
      <w:r>
        <w:rPr>
          <w:rFonts w:eastAsia="標楷體" w:hint="eastAsia"/>
          <w:bCs/>
          <w:sz w:val="32"/>
          <w:szCs w:val="32"/>
        </w:rPr>
        <w:t>97.10.15</w:t>
      </w:r>
    </w:p>
    <w:p w14:paraId="2E687506" w14:textId="77777777" w:rsidR="00861634" w:rsidRDefault="00CE2A5F" w:rsidP="004C2688">
      <w:pPr>
        <w:adjustRightInd w:val="0"/>
        <w:snapToGrid w:val="0"/>
        <w:spacing w:line="520" w:lineRule="exact"/>
        <w:ind w:firstLineChars="196" w:firstLine="627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 w:rsidRPr="00CE2A5F">
        <w:rPr>
          <w:rFonts w:ascii="標楷體" w:eastAsia="標楷體" w:hAnsi="標楷體" w:hint="eastAsia"/>
          <w:color w:val="000000"/>
          <w:sz w:val="32"/>
          <w:szCs w:val="32"/>
        </w:rPr>
        <w:t>台灣目前</w:t>
      </w:r>
      <w:r w:rsidR="009972A1" w:rsidRPr="00CE2A5F">
        <w:rPr>
          <w:rFonts w:ascii="標楷體" w:eastAsia="標楷體" w:hAnsi="標楷體" w:hint="eastAsia"/>
          <w:color w:val="000000"/>
          <w:sz w:val="32"/>
          <w:szCs w:val="32"/>
        </w:rPr>
        <w:t>紅龍果栽培</w:t>
      </w:r>
      <w:r w:rsidR="00861634" w:rsidRPr="00CE2A5F">
        <w:rPr>
          <w:rFonts w:ascii="標楷體" w:eastAsia="標楷體" w:hAnsi="標楷體" w:hint="eastAsia"/>
          <w:color w:val="000000"/>
          <w:sz w:val="32"/>
          <w:szCs w:val="32"/>
        </w:rPr>
        <w:t>面積約</w:t>
      </w:r>
      <w:smartTag w:uri="urn:schemas-microsoft-com:office:smarttags" w:element="chmetcnv">
        <w:smartTagPr>
          <w:attr w:name="UnitName" w:val="公頃"/>
          <w:attr w:name="SourceValue" w:val="811"/>
          <w:attr w:name="HasSpace" w:val="False"/>
          <w:attr w:name="Negative" w:val="False"/>
          <w:attr w:name="NumberType" w:val="1"/>
          <w:attr w:name="TCSC" w:val="0"/>
        </w:smartTagPr>
        <w:r w:rsidR="00861634" w:rsidRPr="00CE2A5F">
          <w:rPr>
            <w:rFonts w:ascii="標楷體" w:eastAsia="標楷體" w:hAnsi="標楷體" w:hint="eastAsia"/>
            <w:color w:val="000000"/>
            <w:sz w:val="32"/>
            <w:szCs w:val="32"/>
          </w:rPr>
          <w:t>811公頃</w:t>
        </w:r>
      </w:smartTag>
      <w:r w:rsidR="00861634" w:rsidRPr="00CE2A5F">
        <w:rPr>
          <w:rFonts w:ascii="標楷體" w:eastAsia="標楷體" w:hAnsi="標楷體" w:hint="eastAsia"/>
          <w:color w:val="000000"/>
          <w:sz w:val="32"/>
          <w:szCs w:val="32"/>
        </w:rPr>
        <w:t>，年產量約15,200公噸，主要產區</w:t>
      </w:r>
      <w:r w:rsidR="00861634" w:rsidRPr="00CE2A5F">
        <w:rPr>
          <w:rFonts w:eastAsia="標楷體" w:hint="eastAsia"/>
          <w:bCs/>
          <w:color w:val="000000"/>
          <w:sz w:val="32"/>
          <w:szCs w:val="32"/>
        </w:rPr>
        <w:t>分佈</w:t>
      </w:r>
      <w:r w:rsidR="004C2688">
        <w:rPr>
          <w:rFonts w:ascii="標楷體" w:eastAsia="標楷體" w:hAnsi="標楷體" w:hint="eastAsia"/>
          <w:color w:val="000000"/>
          <w:sz w:val="32"/>
          <w:szCs w:val="32"/>
        </w:rPr>
        <w:t>於彰化、台南、屏東、</w:t>
      </w:r>
      <w:r w:rsidR="00861634" w:rsidRPr="00CE2A5F">
        <w:rPr>
          <w:rFonts w:ascii="標楷體" w:eastAsia="標楷體" w:hAnsi="標楷體" w:hint="eastAsia"/>
          <w:color w:val="000000"/>
          <w:sz w:val="32"/>
          <w:szCs w:val="32"/>
        </w:rPr>
        <w:t>嘉義</w:t>
      </w:r>
      <w:r w:rsidR="004C2688">
        <w:rPr>
          <w:rFonts w:ascii="標楷體" w:eastAsia="標楷體" w:hAnsi="標楷體" w:hint="eastAsia"/>
          <w:color w:val="000000"/>
          <w:sz w:val="32"/>
          <w:szCs w:val="32"/>
        </w:rPr>
        <w:t>及南投</w:t>
      </w:r>
      <w:r w:rsidR="00861634" w:rsidRPr="00CE2A5F">
        <w:rPr>
          <w:rFonts w:ascii="標楷體" w:eastAsia="標楷體" w:hAnsi="標楷體" w:hint="eastAsia"/>
          <w:color w:val="000000"/>
          <w:sz w:val="32"/>
          <w:szCs w:val="32"/>
        </w:rPr>
        <w:t>等縣，產期為5-11月，</w:t>
      </w:r>
      <w:r w:rsidR="009972A1" w:rsidRPr="00CE2A5F">
        <w:rPr>
          <w:rFonts w:ascii="標楷體" w:eastAsia="標楷體" w:hAnsi="標楷體"/>
          <w:color w:val="000000"/>
          <w:sz w:val="32"/>
          <w:szCs w:val="32"/>
        </w:rPr>
        <w:t>依</w:t>
      </w:r>
      <w:proofErr w:type="gramStart"/>
      <w:r w:rsidR="009972A1" w:rsidRPr="00CE2A5F">
        <w:rPr>
          <w:rFonts w:ascii="標楷體" w:eastAsia="標楷體" w:hAnsi="標楷體"/>
          <w:color w:val="000000"/>
          <w:sz w:val="32"/>
          <w:szCs w:val="32"/>
        </w:rPr>
        <w:t>果肉色可區分</w:t>
      </w:r>
      <w:proofErr w:type="gramEnd"/>
      <w:r w:rsidR="009972A1" w:rsidRPr="00CE2A5F">
        <w:rPr>
          <w:rFonts w:ascii="標楷體" w:eastAsia="標楷體" w:hAnsi="標楷體"/>
          <w:color w:val="000000"/>
          <w:sz w:val="32"/>
          <w:szCs w:val="32"/>
        </w:rPr>
        <w:t>為白色及紅色種。</w:t>
      </w:r>
      <w:r w:rsidR="009972A1" w:rsidRPr="00CE2A5F">
        <w:rPr>
          <w:rFonts w:ascii="標楷體" w:eastAsia="標楷體" w:hAnsi="標楷體" w:hint="eastAsia"/>
          <w:color w:val="000000"/>
          <w:sz w:val="32"/>
          <w:szCs w:val="32"/>
        </w:rPr>
        <w:t>主要</w:t>
      </w:r>
      <w:r w:rsidR="00DE4C06" w:rsidRPr="00CE2A5F">
        <w:rPr>
          <w:rFonts w:ascii="標楷體" w:eastAsia="標楷體" w:hAnsi="標楷體" w:hint="eastAsia"/>
          <w:color w:val="000000"/>
          <w:sz w:val="32"/>
          <w:szCs w:val="32"/>
        </w:rPr>
        <w:t>進口國家為越南，</w:t>
      </w:r>
      <w:r w:rsidR="00FE7040">
        <w:rPr>
          <w:rFonts w:ascii="標楷體" w:eastAsia="標楷體" w:hAnsi="標楷體" w:hint="eastAsia"/>
          <w:color w:val="000000"/>
          <w:sz w:val="32"/>
          <w:szCs w:val="32"/>
        </w:rPr>
        <w:t>去（96）年進口9,352公噸，</w:t>
      </w:r>
      <w:r w:rsidR="00963C0A">
        <w:rPr>
          <w:rFonts w:ascii="標楷體" w:eastAsia="標楷體" w:hAnsi="標楷體" w:hint="eastAsia"/>
          <w:color w:val="000000"/>
          <w:sz w:val="32"/>
          <w:szCs w:val="32"/>
        </w:rPr>
        <w:t>本</w:t>
      </w:r>
      <w:r w:rsidR="009B1EF0">
        <w:rPr>
          <w:rFonts w:ascii="標楷體" w:eastAsia="標楷體" w:hAnsi="標楷體" w:hint="eastAsia"/>
          <w:color w:val="000000"/>
          <w:sz w:val="32"/>
          <w:szCs w:val="32"/>
        </w:rPr>
        <w:t>（97）年1至9月進口7,677公噸，</w:t>
      </w:r>
      <w:proofErr w:type="gramStart"/>
      <w:r w:rsidR="009972A1" w:rsidRPr="00CE2A5F">
        <w:rPr>
          <w:rFonts w:ascii="標楷體" w:eastAsia="標楷體" w:hAnsi="標楷體" w:hint="eastAsia"/>
          <w:color w:val="000000"/>
          <w:sz w:val="32"/>
          <w:szCs w:val="32"/>
        </w:rPr>
        <w:t>均為</w:t>
      </w:r>
      <w:r w:rsidR="00DE4C06" w:rsidRPr="00CE2A5F">
        <w:rPr>
          <w:rFonts w:ascii="標楷體" w:eastAsia="標楷體" w:hAnsi="標楷體" w:hint="eastAsia"/>
          <w:color w:val="000000"/>
          <w:sz w:val="32"/>
          <w:szCs w:val="32"/>
        </w:rPr>
        <w:t>白肉</w:t>
      </w:r>
      <w:proofErr w:type="gramEnd"/>
      <w:r w:rsidR="00DE4C06" w:rsidRPr="00CE2A5F">
        <w:rPr>
          <w:rFonts w:ascii="標楷體" w:eastAsia="標楷體" w:hAnsi="標楷體" w:hint="eastAsia"/>
          <w:color w:val="000000"/>
          <w:sz w:val="32"/>
          <w:szCs w:val="32"/>
        </w:rPr>
        <w:t>種</w:t>
      </w:r>
      <w:r w:rsidR="009972A1" w:rsidRPr="00CE2A5F">
        <w:rPr>
          <w:rFonts w:ascii="標楷體" w:eastAsia="標楷體" w:hAnsi="標楷體" w:hint="eastAsia"/>
          <w:color w:val="000000"/>
          <w:sz w:val="32"/>
          <w:szCs w:val="32"/>
        </w:rPr>
        <w:t>。</w:t>
      </w:r>
    </w:p>
    <w:p w14:paraId="785E297D" w14:textId="77777777" w:rsidR="004C2688" w:rsidRDefault="006D468D" w:rsidP="004C2688">
      <w:pPr>
        <w:adjustRightInd w:val="0"/>
        <w:snapToGrid w:val="0"/>
        <w:spacing w:line="520" w:lineRule="exact"/>
        <w:ind w:firstLineChars="196" w:firstLine="627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紅龍果又稱火龍果，營養價值極高，果實富含花青素、鈣、磷、鐵等礦物質、維他命群、</w:t>
      </w:r>
      <w:r w:rsidR="004C2688">
        <w:rPr>
          <w:rFonts w:ascii="標楷體" w:eastAsia="標楷體" w:hAnsi="標楷體" w:hint="eastAsia"/>
          <w:color w:val="000000"/>
          <w:sz w:val="32"/>
          <w:szCs w:val="32"/>
        </w:rPr>
        <w:t>植物性蛋白</w:t>
      </w:r>
      <w:r>
        <w:rPr>
          <w:rFonts w:ascii="標楷體" w:eastAsia="標楷體" w:hAnsi="標楷體" w:hint="eastAsia"/>
          <w:color w:val="000000"/>
          <w:sz w:val="32"/>
          <w:szCs w:val="32"/>
        </w:rPr>
        <w:t>及</w:t>
      </w:r>
      <w:r w:rsidR="004C2688">
        <w:rPr>
          <w:rFonts w:ascii="標楷體" w:eastAsia="標楷體" w:hAnsi="標楷體" w:hint="eastAsia"/>
          <w:color w:val="000000"/>
          <w:sz w:val="32"/>
          <w:szCs w:val="32"/>
        </w:rPr>
        <w:t>高量水溶性膳食</w:t>
      </w:r>
      <w:r w:rsidR="00424304">
        <w:rPr>
          <w:rFonts w:ascii="標楷體" w:eastAsia="標楷體" w:hAnsi="標楷體" w:hint="eastAsia"/>
          <w:color w:val="000000"/>
          <w:sz w:val="32"/>
          <w:szCs w:val="32"/>
        </w:rPr>
        <w:t>纖維，具抗氧化、</w:t>
      </w:r>
      <w:r>
        <w:rPr>
          <w:rFonts w:ascii="標楷體" w:eastAsia="標楷體" w:hAnsi="標楷體" w:hint="eastAsia"/>
          <w:color w:val="000000"/>
          <w:sz w:val="32"/>
          <w:szCs w:val="32"/>
        </w:rPr>
        <w:t>抗</w:t>
      </w:r>
      <w:r w:rsidR="00424304">
        <w:rPr>
          <w:rFonts w:ascii="標楷體" w:eastAsia="標楷體" w:hAnsi="標楷體" w:hint="eastAsia"/>
          <w:color w:val="000000"/>
          <w:sz w:val="32"/>
          <w:szCs w:val="32"/>
        </w:rPr>
        <w:t>自由基功效，對人體胃壁有保護作用，為糖尿病、高血壓病患少數可攝食的水果之</w:t>
      </w:r>
      <w:proofErr w:type="gramStart"/>
      <w:r w:rsidR="00424304">
        <w:rPr>
          <w:rFonts w:ascii="標楷體" w:eastAsia="標楷體" w:hAnsi="標楷體" w:hint="eastAsia"/>
          <w:color w:val="000000"/>
          <w:sz w:val="32"/>
          <w:szCs w:val="32"/>
        </w:rPr>
        <w:t>一</w:t>
      </w:r>
      <w:proofErr w:type="gramEnd"/>
      <w:r w:rsidR="00424304">
        <w:rPr>
          <w:rFonts w:ascii="標楷體" w:eastAsia="標楷體" w:hAnsi="標楷體" w:hint="eastAsia"/>
          <w:color w:val="000000"/>
          <w:sz w:val="32"/>
          <w:szCs w:val="32"/>
        </w:rPr>
        <w:t>。</w:t>
      </w:r>
    </w:p>
    <w:p w14:paraId="4F6A9719" w14:textId="77777777" w:rsidR="007A3451" w:rsidRPr="003E216E" w:rsidRDefault="006D468D" w:rsidP="007A3451">
      <w:pPr>
        <w:adjustRightInd w:val="0"/>
        <w:snapToGrid w:val="0"/>
        <w:spacing w:line="520" w:lineRule="exact"/>
        <w:ind w:firstLineChars="188" w:firstLine="602"/>
        <w:jc w:val="both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日前</w:t>
      </w:r>
      <w:r w:rsidR="007A3451">
        <w:rPr>
          <w:rFonts w:ascii="標楷體" w:eastAsia="標楷體" w:hAnsi="標楷體" w:hint="eastAsia"/>
          <w:sz w:val="32"/>
          <w:szCs w:val="32"/>
        </w:rPr>
        <w:t>報載</w:t>
      </w:r>
      <w:r w:rsidR="007A3451" w:rsidRPr="003E216E">
        <w:rPr>
          <w:rFonts w:ascii="標楷體" w:eastAsia="標楷體" w:hAnsi="標楷體" w:hint="eastAsia"/>
          <w:sz w:val="32"/>
          <w:szCs w:val="32"/>
        </w:rPr>
        <w:t>越南進口紅</w:t>
      </w:r>
      <w:proofErr w:type="gramStart"/>
      <w:r w:rsidR="007A3451" w:rsidRPr="003E216E">
        <w:rPr>
          <w:rFonts w:ascii="標楷體" w:eastAsia="標楷體" w:hAnsi="標楷體" w:hint="eastAsia"/>
          <w:sz w:val="32"/>
          <w:szCs w:val="32"/>
        </w:rPr>
        <w:t>龍果驗出</w:t>
      </w:r>
      <w:proofErr w:type="gramEnd"/>
      <w:r w:rsidR="007A3451" w:rsidRPr="003E216E">
        <w:rPr>
          <w:rFonts w:ascii="標楷體" w:eastAsia="標楷體" w:hAnsi="標楷體" w:hint="eastAsia"/>
          <w:sz w:val="32"/>
          <w:szCs w:val="32"/>
        </w:rPr>
        <w:t>農藥</w:t>
      </w:r>
      <w:r w:rsidR="007A3451" w:rsidRPr="003E216E">
        <w:rPr>
          <w:rFonts w:ascii="標楷體" w:eastAsia="標楷體" w:hAnsi="標楷體" w:hint="eastAsia"/>
          <w:kern w:val="0"/>
          <w:sz w:val="32"/>
          <w:szCs w:val="32"/>
        </w:rPr>
        <w:t>「撲克拉」，查「撲克拉」(</w:t>
      </w:r>
      <w:r w:rsidR="007A3451" w:rsidRPr="003E216E">
        <w:rPr>
          <w:rFonts w:ascii="標楷體" w:eastAsia="標楷體" w:hAnsi="標楷體"/>
          <w:kern w:val="0"/>
          <w:sz w:val="32"/>
          <w:szCs w:val="32"/>
        </w:rPr>
        <w:t>Prochloraz</w:t>
      </w:r>
      <w:r w:rsidR="007A3451" w:rsidRPr="003E216E">
        <w:rPr>
          <w:rFonts w:ascii="標楷體" w:eastAsia="標楷體" w:hAnsi="標楷體" w:hint="eastAsia"/>
          <w:kern w:val="0"/>
          <w:sz w:val="32"/>
          <w:szCs w:val="32"/>
        </w:rPr>
        <w:t>)為一殺菌劑，主要用於防治病害，在各類作物之</w:t>
      </w:r>
      <w:r w:rsidR="007A3451" w:rsidRPr="003E216E">
        <w:rPr>
          <w:rFonts w:eastAsia="標楷體" w:hint="eastAsia"/>
          <w:sz w:val="32"/>
          <w:szCs w:val="32"/>
        </w:rPr>
        <w:t>殘留</w:t>
      </w:r>
      <w:r w:rsidR="007A3451" w:rsidRPr="003E216E">
        <w:rPr>
          <w:rFonts w:ascii="標楷體" w:eastAsia="標楷體" w:hAnsi="標楷體" w:hint="eastAsia"/>
          <w:kern w:val="0"/>
          <w:sz w:val="32"/>
          <w:szCs w:val="32"/>
        </w:rPr>
        <w:t>安</w:t>
      </w:r>
      <w:r w:rsidR="007A3451" w:rsidRPr="003E216E">
        <w:rPr>
          <w:rFonts w:ascii="標楷體" w:eastAsia="標楷體" w:hAnsi="標楷體" w:hint="eastAsia"/>
          <w:sz w:val="32"/>
          <w:szCs w:val="32"/>
        </w:rPr>
        <w:t>全容許量</w:t>
      </w:r>
      <w:proofErr w:type="gramStart"/>
      <w:r w:rsidR="007A3451" w:rsidRPr="003E216E">
        <w:rPr>
          <w:rFonts w:ascii="標楷體" w:eastAsia="標楷體" w:hAnsi="標楷體" w:hint="eastAsia"/>
          <w:sz w:val="32"/>
          <w:szCs w:val="32"/>
        </w:rPr>
        <w:t>標準為</w:t>
      </w:r>
      <w:r w:rsidR="007A3451" w:rsidRPr="003E216E">
        <w:rPr>
          <w:rFonts w:ascii="標楷體" w:eastAsia="標楷體" w:hAnsi="標楷體" w:hint="eastAsia"/>
          <w:kern w:val="0"/>
          <w:sz w:val="32"/>
          <w:szCs w:val="32"/>
        </w:rPr>
        <w:t>米類</w:t>
      </w:r>
      <w:proofErr w:type="gramEnd"/>
      <w:r w:rsidR="007A3451" w:rsidRPr="003E216E">
        <w:rPr>
          <w:rFonts w:ascii="標楷體" w:eastAsia="標楷體" w:hAnsi="標楷體" w:hint="eastAsia"/>
          <w:kern w:val="0"/>
          <w:sz w:val="32"/>
          <w:szCs w:val="32"/>
        </w:rPr>
        <w:t>（</w:t>
      </w:r>
      <w:r w:rsidR="007A3451" w:rsidRPr="003E216E">
        <w:rPr>
          <w:rFonts w:ascii="標楷體" w:eastAsia="標楷體" w:hAnsi="標楷體" w:hint="eastAsia"/>
          <w:sz w:val="32"/>
          <w:szCs w:val="32"/>
        </w:rPr>
        <w:t>0.5ppm</w:t>
      </w:r>
      <w:r w:rsidR="007A3451" w:rsidRPr="003E216E">
        <w:rPr>
          <w:rFonts w:ascii="標楷體" w:eastAsia="標楷體" w:hAnsi="標楷體" w:hint="eastAsia"/>
          <w:kern w:val="0"/>
          <w:sz w:val="32"/>
          <w:szCs w:val="32"/>
        </w:rPr>
        <w:t>）、小漿果類（1</w:t>
      </w:r>
      <w:r w:rsidR="007A3451" w:rsidRPr="003E216E">
        <w:rPr>
          <w:rFonts w:ascii="標楷體" w:eastAsia="標楷體" w:hAnsi="標楷體" w:hint="eastAsia"/>
          <w:sz w:val="32"/>
          <w:szCs w:val="32"/>
        </w:rPr>
        <w:t>.0ppm</w:t>
      </w:r>
      <w:r w:rsidR="007A3451" w:rsidRPr="003E216E">
        <w:rPr>
          <w:rFonts w:ascii="標楷體" w:eastAsia="標楷體" w:hAnsi="標楷體" w:hint="eastAsia"/>
          <w:kern w:val="0"/>
          <w:sz w:val="32"/>
          <w:szCs w:val="32"/>
        </w:rPr>
        <w:t>）、瓜果類（</w:t>
      </w:r>
      <w:r w:rsidR="007A3451" w:rsidRPr="003E216E">
        <w:rPr>
          <w:rFonts w:ascii="標楷體" w:eastAsia="標楷體" w:hAnsi="標楷體" w:hint="eastAsia"/>
          <w:sz w:val="32"/>
          <w:szCs w:val="32"/>
        </w:rPr>
        <w:t>0.5ppm</w:t>
      </w:r>
      <w:r w:rsidR="007A3451" w:rsidRPr="003E216E">
        <w:rPr>
          <w:rFonts w:ascii="標楷體" w:eastAsia="標楷體" w:hAnsi="標楷體" w:hint="eastAsia"/>
          <w:kern w:val="0"/>
          <w:sz w:val="32"/>
          <w:szCs w:val="32"/>
        </w:rPr>
        <w:t>）、核果類（1</w:t>
      </w:r>
      <w:r w:rsidR="007A3451" w:rsidRPr="003E216E">
        <w:rPr>
          <w:rFonts w:ascii="標楷體" w:eastAsia="標楷體" w:hAnsi="標楷體" w:hint="eastAsia"/>
          <w:sz w:val="32"/>
          <w:szCs w:val="32"/>
        </w:rPr>
        <w:t>.0ppm</w:t>
      </w:r>
      <w:r w:rsidR="007A3451" w:rsidRPr="003E216E">
        <w:rPr>
          <w:rFonts w:ascii="標楷體" w:eastAsia="標楷體" w:hAnsi="標楷體" w:hint="eastAsia"/>
          <w:kern w:val="0"/>
          <w:sz w:val="32"/>
          <w:szCs w:val="32"/>
        </w:rPr>
        <w:t>）、梨果類（1</w:t>
      </w:r>
      <w:r w:rsidR="007A3451" w:rsidRPr="003E216E">
        <w:rPr>
          <w:rFonts w:ascii="標楷體" w:eastAsia="標楷體" w:hAnsi="標楷體" w:hint="eastAsia"/>
          <w:sz w:val="32"/>
          <w:szCs w:val="32"/>
        </w:rPr>
        <w:t>.0ppm</w:t>
      </w:r>
      <w:r w:rsidR="007A3451" w:rsidRPr="003E216E">
        <w:rPr>
          <w:rFonts w:ascii="標楷體" w:eastAsia="標楷體" w:hAnsi="標楷體" w:hint="eastAsia"/>
          <w:kern w:val="0"/>
          <w:sz w:val="32"/>
          <w:szCs w:val="32"/>
        </w:rPr>
        <w:t>）、</w:t>
      </w:r>
      <w:proofErr w:type="gramStart"/>
      <w:r w:rsidR="007A3451" w:rsidRPr="003E216E">
        <w:rPr>
          <w:rFonts w:ascii="標楷體" w:eastAsia="標楷體" w:hAnsi="標楷體" w:hint="eastAsia"/>
          <w:kern w:val="0"/>
          <w:sz w:val="32"/>
          <w:szCs w:val="32"/>
        </w:rPr>
        <w:t>根菜類</w:t>
      </w:r>
      <w:proofErr w:type="gramEnd"/>
      <w:r w:rsidR="007A3451" w:rsidRPr="003E216E">
        <w:rPr>
          <w:rFonts w:ascii="標楷體" w:eastAsia="標楷體" w:hAnsi="標楷體" w:hint="eastAsia"/>
          <w:kern w:val="0"/>
          <w:sz w:val="32"/>
          <w:szCs w:val="32"/>
        </w:rPr>
        <w:t>（</w:t>
      </w:r>
      <w:r w:rsidR="007A3451" w:rsidRPr="003E216E">
        <w:rPr>
          <w:rFonts w:ascii="標楷體" w:eastAsia="標楷體" w:hAnsi="標楷體" w:hint="eastAsia"/>
          <w:sz w:val="32"/>
          <w:szCs w:val="32"/>
        </w:rPr>
        <w:t>0.5ppm</w:t>
      </w:r>
      <w:r w:rsidR="007A3451" w:rsidRPr="003E216E">
        <w:rPr>
          <w:rFonts w:ascii="標楷體" w:eastAsia="標楷體" w:hAnsi="標楷體" w:hint="eastAsia"/>
          <w:kern w:val="0"/>
          <w:sz w:val="32"/>
          <w:szCs w:val="32"/>
        </w:rPr>
        <w:t>）</w:t>
      </w:r>
      <w:proofErr w:type="gramStart"/>
      <w:r w:rsidR="007A3451" w:rsidRPr="003E216E">
        <w:rPr>
          <w:rFonts w:ascii="標楷體" w:eastAsia="標楷體" w:hAnsi="標楷體" w:hint="eastAsia"/>
          <w:kern w:val="0"/>
          <w:sz w:val="32"/>
          <w:szCs w:val="32"/>
        </w:rPr>
        <w:t>及蕈菜</w:t>
      </w:r>
      <w:proofErr w:type="gramEnd"/>
      <w:r w:rsidR="007A3451" w:rsidRPr="003E216E">
        <w:rPr>
          <w:rFonts w:ascii="標楷體" w:eastAsia="標楷體" w:hAnsi="標楷體" w:hint="eastAsia"/>
          <w:kern w:val="0"/>
          <w:sz w:val="32"/>
          <w:szCs w:val="32"/>
        </w:rPr>
        <w:t>類（</w:t>
      </w:r>
      <w:r w:rsidR="007A3451" w:rsidRPr="003E216E">
        <w:rPr>
          <w:rFonts w:ascii="標楷體" w:eastAsia="標楷體" w:hAnsi="標楷體" w:hint="eastAsia"/>
          <w:sz w:val="32"/>
          <w:szCs w:val="32"/>
        </w:rPr>
        <w:t>0.5ppm</w:t>
      </w:r>
      <w:r w:rsidR="007A3451" w:rsidRPr="003E216E">
        <w:rPr>
          <w:rFonts w:ascii="標楷體" w:eastAsia="標楷體" w:hAnsi="標楷體" w:hint="eastAsia"/>
          <w:kern w:val="0"/>
          <w:sz w:val="32"/>
          <w:szCs w:val="32"/>
        </w:rPr>
        <w:t>）。</w:t>
      </w:r>
      <w:r w:rsidR="007A3451">
        <w:rPr>
          <w:rFonts w:ascii="標楷體" w:eastAsia="標楷體" w:hAnsi="標楷體" w:hint="eastAsia"/>
          <w:sz w:val="32"/>
          <w:szCs w:val="32"/>
        </w:rPr>
        <w:t>紅</w:t>
      </w:r>
      <w:proofErr w:type="gramStart"/>
      <w:r w:rsidR="007A3451" w:rsidRPr="003E216E">
        <w:rPr>
          <w:rFonts w:ascii="標楷體" w:eastAsia="標楷體" w:hAnsi="標楷體" w:hint="eastAsia"/>
          <w:sz w:val="32"/>
          <w:szCs w:val="32"/>
        </w:rPr>
        <w:t>龍果於殘留</w:t>
      </w:r>
      <w:proofErr w:type="gramEnd"/>
      <w:r w:rsidR="007A3451" w:rsidRPr="003E216E">
        <w:rPr>
          <w:rFonts w:ascii="標楷體" w:eastAsia="標楷體" w:hAnsi="標楷體" w:hint="eastAsia"/>
          <w:sz w:val="32"/>
          <w:szCs w:val="32"/>
        </w:rPr>
        <w:t>農藥安全容許量表中農作物之分類，屬大漿果類，並未訂有「</w:t>
      </w:r>
      <w:r w:rsidR="007A3451" w:rsidRPr="003E216E">
        <w:rPr>
          <w:rFonts w:ascii="標楷體" w:eastAsia="標楷體" w:hAnsi="標楷體" w:hint="eastAsia"/>
          <w:kern w:val="0"/>
          <w:sz w:val="32"/>
          <w:szCs w:val="32"/>
        </w:rPr>
        <w:t>撲克拉」</w:t>
      </w:r>
      <w:r w:rsidR="007A3451" w:rsidRPr="003E216E">
        <w:rPr>
          <w:rFonts w:ascii="標楷體" w:eastAsia="標楷體" w:hAnsi="標楷體" w:hint="eastAsia"/>
          <w:sz w:val="32"/>
          <w:szCs w:val="32"/>
        </w:rPr>
        <w:t>安全容許量標準，屬不得檢出。</w:t>
      </w:r>
    </w:p>
    <w:p w14:paraId="47336922" w14:textId="77777777" w:rsidR="007A3451" w:rsidRPr="003E216E" w:rsidRDefault="007A3451" w:rsidP="007A3451">
      <w:pPr>
        <w:adjustRightInd w:val="0"/>
        <w:snapToGrid w:val="0"/>
        <w:spacing w:line="520" w:lineRule="exact"/>
        <w:ind w:firstLineChars="196" w:firstLine="627"/>
        <w:jc w:val="both"/>
        <w:rPr>
          <w:rFonts w:ascii="標楷體" w:eastAsia="標楷體" w:hAnsi="標楷體"/>
          <w:sz w:val="32"/>
          <w:szCs w:val="32"/>
        </w:rPr>
      </w:pPr>
      <w:r w:rsidRPr="003E216E">
        <w:rPr>
          <w:rFonts w:ascii="標楷體" w:eastAsia="標楷體" w:hAnsi="標楷體" w:hint="eastAsia"/>
          <w:sz w:val="32"/>
          <w:szCs w:val="32"/>
        </w:rPr>
        <w:t>國內</w:t>
      </w:r>
      <w:r>
        <w:rPr>
          <w:rFonts w:ascii="標楷體" w:eastAsia="標楷體" w:hAnsi="標楷體" w:hint="eastAsia"/>
          <w:sz w:val="32"/>
          <w:szCs w:val="32"/>
        </w:rPr>
        <w:t>紅</w:t>
      </w:r>
      <w:r w:rsidRPr="003E216E">
        <w:rPr>
          <w:rFonts w:ascii="標楷體" w:eastAsia="標楷體" w:hAnsi="標楷體" w:hint="eastAsia"/>
          <w:sz w:val="32"/>
          <w:szCs w:val="32"/>
        </w:rPr>
        <w:t>龍果之栽種過程，並無重要病蟲害發生，農民鮮少需要施藥防治，95年</w:t>
      </w:r>
      <w:proofErr w:type="gramStart"/>
      <w:r w:rsidRPr="003E216E">
        <w:rPr>
          <w:rFonts w:ascii="標楷體" w:eastAsia="標楷體" w:hAnsi="標楷體" w:hint="eastAsia"/>
          <w:sz w:val="32"/>
          <w:szCs w:val="32"/>
        </w:rPr>
        <w:t>迄</w:t>
      </w:r>
      <w:proofErr w:type="gramEnd"/>
      <w:r w:rsidRPr="003E216E">
        <w:rPr>
          <w:rFonts w:ascii="標楷體" w:eastAsia="標楷體" w:hAnsi="標楷體" w:hint="eastAsia"/>
          <w:sz w:val="32"/>
          <w:szCs w:val="32"/>
        </w:rPr>
        <w:t>97年10月計抽檢10</w:t>
      </w:r>
      <w:r>
        <w:rPr>
          <w:rFonts w:ascii="標楷體" w:eastAsia="標楷體" w:hAnsi="標楷體" w:hint="eastAsia"/>
          <w:sz w:val="32"/>
          <w:szCs w:val="32"/>
        </w:rPr>
        <w:t>4</w:t>
      </w:r>
      <w:r w:rsidR="005107B3">
        <w:rPr>
          <w:rFonts w:ascii="標楷體" w:eastAsia="標楷體" w:hAnsi="標楷體" w:hint="eastAsia"/>
          <w:sz w:val="32"/>
          <w:szCs w:val="32"/>
        </w:rPr>
        <w:t>件，均</w:t>
      </w:r>
      <w:r w:rsidRPr="003E216E">
        <w:rPr>
          <w:rFonts w:ascii="標楷體" w:eastAsia="標楷體" w:hAnsi="標楷體" w:hint="eastAsia"/>
          <w:sz w:val="32"/>
          <w:szCs w:val="32"/>
        </w:rPr>
        <w:t>合格。</w:t>
      </w:r>
      <w:proofErr w:type="gramStart"/>
      <w:r w:rsidRPr="003E216E">
        <w:rPr>
          <w:rFonts w:ascii="標楷體" w:eastAsia="標楷體" w:hAnsi="標楷體" w:hint="eastAsia"/>
          <w:sz w:val="32"/>
          <w:szCs w:val="32"/>
        </w:rPr>
        <w:t>本署將</w:t>
      </w:r>
      <w:proofErr w:type="gramEnd"/>
      <w:r>
        <w:rPr>
          <w:rFonts w:ascii="標楷體" w:eastAsia="標楷體" w:hAnsi="標楷體" w:hint="eastAsia"/>
          <w:sz w:val="32"/>
          <w:szCs w:val="32"/>
        </w:rPr>
        <w:t>繼續</w:t>
      </w:r>
      <w:r w:rsidRPr="003E216E">
        <w:rPr>
          <w:rFonts w:ascii="標楷體" w:eastAsia="標楷體" w:hAnsi="標楷體" w:hint="eastAsia"/>
          <w:sz w:val="32"/>
          <w:szCs w:val="32"/>
        </w:rPr>
        <w:t>針對該種水果</w:t>
      </w:r>
      <w:r>
        <w:rPr>
          <w:rFonts w:ascii="標楷體" w:eastAsia="標楷體" w:hAnsi="標楷體" w:hint="eastAsia"/>
          <w:sz w:val="32"/>
          <w:szCs w:val="32"/>
        </w:rPr>
        <w:t>加強</w:t>
      </w:r>
      <w:r w:rsidR="005107B3">
        <w:rPr>
          <w:rFonts w:ascii="標楷體" w:eastAsia="標楷體" w:hAnsi="標楷體" w:hint="eastAsia"/>
          <w:sz w:val="32"/>
          <w:szCs w:val="32"/>
        </w:rPr>
        <w:t>抽樣監測</w:t>
      </w:r>
      <w:r w:rsidRPr="003E216E">
        <w:rPr>
          <w:rFonts w:ascii="標楷體" w:eastAsia="標楷體" w:hAnsi="標楷體" w:hint="eastAsia"/>
          <w:sz w:val="32"/>
          <w:szCs w:val="32"/>
        </w:rPr>
        <w:t>農藥殘留情形，以維護其安全品質。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98"/>
      </w:tblGrid>
      <w:tr w:rsidR="0015619B" w:rsidRPr="00CE2A5F" w14:paraId="4B483CEA" w14:textId="77777777">
        <w:trPr>
          <w:tblCellSpacing w:w="22" w:type="dxa"/>
        </w:trPr>
        <w:tc>
          <w:tcPr>
            <w:tcW w:w="0" w:type="auto"/>
          </w:tcPr>
          <w:p w14:paraId="1A550908" w14:textId="77777777" w:rsidR="0015619B" w:rsidRPr="00CE2A5F" w:rsidRDefault="00CE2A5F" w:rsidP="004073E2">
            <w:pPr>
              <w:adjustRightInd w:val="0"/>
              <w:snapToGrid w:val="0"/>
              <w:spacing w:line="520" w:lineRule="exact"/>
              <w:ind w:firstLineChars="196" w:firstLine="627"/>
              <w:jc w:val="both"/>
              <w:rPr>
                <w:color w:val="000000"/>
              </w:rPr>
            </w:pPr>
            <w:r w:rsidRPr="00CE2A5F">
              <w:rPr>
                <w:rFonts w:ascii="標楷體" w:eastAsia="標楷體" w:hAnsi="標楷體"/>
                <w:sz w:val="32"/>
                <w:szCs w:val="32"/>
              </w:rPr>
              <w:t>國產</w:t>
            </w:r>
            <w:r w:rsidRPr="00CE2A5F">
              <w:rPr>
                <w:rFonts w:ascii="標楷體" w:eastAsia="標楷體" w:hAnsi="標楷體" w:hint="eastAsia"/>
                <w:sz w:val="32"/>
                <w:szCs w:val="32"/>
              </w:rPr>
              <w:t>紅</w:t>
            </w:r>
            <w:r w:rsidR="0015619B" w:rsidRPr="00CE2A5F">
              <w:rPr>
                <w:rFonts w:ascii="標楷體" w:eastAsia="標楷體" w:hAnsi="標楷體"/>
                <w:sz w:val="32"/>
                <w:szCs w:val="32"/>
              </w:rPr>
              <w:t>龍果的表皮顏色</w:t>
            </w:r>
            <w:r w:rsidRPr="00CE2A5F">
              <w:rPr>
                <w:rFonts w:ascii="標楷體" w:eastAsia="標楷體" w:hAnsi="標楷體" w:hint="eastAsia"/>
                <w:sz w:val="32"/>
                <w:szCs w:val="32"/>
              </w:rPr>
              <w:t>較進口者為鮮豔，鮮度佳、</w:t>
            </w:r>
            <w:r w:rsidR="0015619B" w:rsidRPr="00CE2A5F">
              <w:rPr>
                <w:rFonts w:ascii="標楷體" w:eastAsia="標楷體" w:hAnsi="標楷體"/>
                <w:sz w:val="32"/>
                <w:szCs w:val="32"/>
              </w:rPr>
              <w:t>甜度高。越南進口</w:t>
            </w:r>
            <w:r w:rsidRPr="00CE2A5F">
              <w:rPr>
                <w:rFonts w:ascii="標楷體" w:eastAsia="標楷體" w:hAnsi="標楷體" w:hint="eastAsia"/>
                <w:sz w:val="32"/>
                <w:szCs w:val="32"/>
              </w:rPr>
              <w:t>紅</w:t>
            </w:r>
            <w:r w:rsidR="0015619B" w:rsidRPr="00CE2A5F">
              <w:rPr>
                <w:rFonts w:ascii="標楷體" w:eastAsia="標楷體" w:hAnsi="標楷體"/>
                <w:sz w:val="32"/>
                <w:szCs w:val="32"/>
              </w:rPr>
              <w:t>龍果</w:t>
            </w:r>
            <w:r w:rsidRPr="00CE2A5F">
              <w:rPr>
                <w:rFonts w:ascii="標楷體" w:eastAsia="標楷體" w:hAnsi="標楷體" w:hint="eastAsia"/>
                <w:sz w:val="32"/>
                <w:szCs w:val="32"/>
              </w:rPr>
              <w:t>為</w:t>
            </w:r>
            <w:r w:rsidR="0015619B" w:rsidRPr="00CE2A5F">
              <w:rPr>
                <w:rFonts w:ascii="標楷體" w:eastAsia="標楷體" w:hAnsi="標楷體"/>
                <w:sz w:val="32"/>
                <w:szCs w:val="32"/>
              </w:rPr>
              <w:t>白肉品種，</w:t>
            </w:r>
            <w:r w:rsidR="00563F98">
              <w:rPr>
                <w:rFonts w:ascii="標楷體" w:eastAsia="標楷體" w:hAnsi="標楷體" w:hint="eastAsia"/>
                <w:sz w:val="32"/>
                <w:szCs w:val="32"/>
              </w:rPr>
              <w:t>因儲運需求，而提早</w:t>
            </w:r>
            <w:proofErr w:type="gramStart"/>
            <w:r w:rsidR="00563F98">
              <w:rPr>
                <w:rFonts w:ascii="標楷體" w:eastAsia="標楷體" w:hAnsi="標楷體" w:hint="eastAsia"/>
                <w:sz w:val="32"/>
                <w:szCs w:val="32"/>
              </w:rPr>
              <w:t>採</w:t>
            </w:r>
            <w:proofErr w:type="gramEnd"/>
            <w:r w:rsidR="00563F98">
              <w:rPr>
                <w:rFonts w:ascii="標楷體" w:eastAsia="標楷體" w:hAnsi="標楷體" w:hint="eastAsia"/>
                <w:sz w:val="32"/>
                <w:szCs w:val="32"/>
              </w:rPr>
              <w:t>收，</w:t>
            </w:r>
            <w:r w:rsidR="0015619B" w:rsidRPr="00CE2A5F">
              <w:rPr>
                <w:rFonts w:ascii="標楷體" w:eastAsia="標楷體" w:hAnsi="標楷體"/>
                <w:sz w:val="32"/>
                <w:szCs w:val="32"/>
              </w:rPr>
              <w:t>通常</w:t>
            </w:r>
            <w:r w:rsidRPr="00CE2A5F">
              <w:rPr>
                <w:rFonts w:ascii="標楷體" w:eastAsia="標楷體" w:hAnsi="標楷體" w:hint="eastAsia"/>
                <w:sz w:val="32"/>
                <w:szCs w:val="32"/>
              </w:rPr>
              <w:t>熟度達</w:t>
            </w:r>
            <w:r w:rsidR="0015619B" w:rsidRPr="00CE2A5F">
              <w:rPr>
                <w:rFonts w:ascii="標楷體" w:eastAsia="標楷體" w:hAnsi="標楷體"/>
                <w:sz w:val="32"/>
                <w:szCs w:val="32"/>
              </w:rPr>
              <w:t>七、八</w:t>
            </w:r>
            <w:r w:rsidRPr="00CE2A5F">
              <w:rPr>
                <w:rFonts w:ascii="標楷體" w:eastAsia="標楷體" w:hAnsi="標楷體" w:hint="eastAsia"/>
                <w:sz w:val="32"/>
                <w:szCs w:val="32"/>
              </w:rPr>
              <w:t>分即</w:t>
            </w:r>
            <w:proofErr w:type="gramStart"/>
            <w:r w:rsidRPr="00CE2A5F">
              <w:rPr>
                <w:rFonts w:ascii="標楷體" w:eastAsia="標楷體" w:hAnsi="標楷體" w:hint="eastAsia"/>
                <w:sz w:val="32"/>
                <w:szCs w:val="32"/>
              </w:rPr>
              <w:t>採</w:t>
            </w:r>
            <w:proofErr w:type="gramEnd"/>
            <w:r w:rsidRPr="00CE2A5F">
              <w:rPr>
                <w:rFonts w:ascii="標楷體" w:eastAsia="標楷體" w:hAnsi="標楷體" w:hint="eastAsia"/>
                <w:sz w:val="32"/>
                <w:szCs w:val="32"/>
              </w:rPr>
              <w:t>收，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因</w:t>
            </w:r>
            <w:r w:rsidR="003726EE">
              <w:rPr>
                <w:rFonts w:ascii="標楷體" w:eastAsia="標楷體" w:hAnsi="標楷體" w:hint="eastAsia"/>
                <w:sz w:val="32"/>
                <w:szCs w:val="32"/>
              </w:rPr>
              <w:t>未</w:t>
            </w:r>
            <w:proofErr w:type="gramStart"/>
            <w:r w:rsidR="003726EE">
              <w:rPr>
                <w:rFonts w:ascii="標楷體" w:eastAsia="標楷體" w:hAnsi="標楷體" w:hint="eastAsia"/>
                <w:sz w:val="32"/>
                <w:szCs w:val="32"/>
              </w:rPr>
              <w:t>臻</w:t>
            </w:r>
            <w:proofErr w:type="gramEnd"/>
            <w:r w:rsidR="003726EE">
              <w:rPr>
                <w:rFonts w:ascii="標楷體" w:eastAsia="標楷體" w:hAnsi="標楷體" w:hint="eastAsia"/>
                <w:sz w:val="32"/>
                <w:szCs w:val="32"/>
              </w:rPr>
              <w:t>完全</w:t>
            </w:r>
            <w:r w:rsidR="0015619B" w:rsidRPr="00CE2A5F">
              <w:rPr>
                <w:rFonts w:ascii="標楷體" w:eastAsia="標楷體" w:hAnsi="標楷體"/>
                <w:sz w:val="32"/>
                <w:szCs w:val="32"/>
              </w:rPr>
              <w:t>成熟，果皮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顏色</w:t>
            </w:r>
            <w:r w:rsidR="0015619B" w:rsidRPr="00CE2A5F">
              <w:rPr>
                <w:rFonts w:ascii="標楷體" w:eastAsia="標楷體" w:hAnsi="標楷體"/>
                <w:sz w:val="32"/>
                <w:szCs w:val="32"/>
              </w:rPr>
              <w:t>較淡，甜度較差。</w:t>
            </w:r>
            <w:proofErr w:type="gramStart"/>
            <w:r w:rsidR="00150716">
              <w:rPr>
                <w:rFonts w:ascii="標楷體" w:eastAsia="標楷體" w:hAnsi="標楷體" w:hint="eastAsia"/>
                <w:sz w:val="32"/>
                <w:szCs w:val="32"/>
              </w:rPr>
              <w:t>另紅</w:t>
            </w:r>
            <w:r w:rsidR="0015619B" w:rsidRPr="00CE2A5F">
              <w:rPr>
                <w:rFonts w:ascii="標楷體" w:eastAsia="標楷體" w:hAnsi="標楷體"/>
                <w:sz w:val="32"/>
                <w:szCs w:val="32"/>
              </w:rPr>
              <w:t>龍</w:t>
            </w:r>
            <w:proofErr w:type="gramEnd"/>
            <w:r w:rsidR="0015619B" w:rsidRPr="00CE2A5F">
              <w:rPr>
                <w:rFonts w:ascii="標楷體" w:eastAsia="標楷體" w:hAnsi="標楷體"/>
                <w:sz w:val="32"/>
                <w:szCs w:val="32"/>
              </w:rPr>
              <w:t>果表面的</w:t>
            </w:r>
            <w:proofErr w:type="gramStart"/>
            <w:r w:rsidR="003726EE">
              <w:rPr>
                <w:rFonts w:ascii="標楷體" w:eastAsia="標楷體" w:hAnsi="標楷體" w:hint="eastAsia"/>
                <w:sz w:val="32"/>
                <w:szCs w:val="32"/>
              </w:rPr>
              <w:t>麟</w:t>
            </w:r>
            <w:proofErr w:type="gramEnd"/>
            <w:r w:rsidR="003726EE">
              <w:rPr>
                <w:rFonts w:ascii="標楷體" w:eastAsia="標楷體" w:hAnsi="標楷體" w:hint="eastAsia"/>
                <w:sz w:val="32"/>
                <w:szCs w:val="32"/>
              </w:rPr>
              <w:t>片</w:t>
            </w:r>
            <w:r w:rsidR="0015619B" w:rsidRPr="00CE2A5F">
              <w:rPr>
                <w:rFonts w:ascii="標楷體" w:eastAsia="標楷體" w:hAnsi="標楷體"/>
                <w:sz w:val="32"/>
                <w:szCs w:val="32"/>
              </w:rPr>
              <w:t>突起，</w:t>
            </w:r>
            <w:r w:rsidR="00606F42">
              <w:rPr>
                <w:rFonts w:ascii="標楷體" w:eastAsia="標楷體" w:hAnsi="標楷體" w:hint="eastAsia"/>
                <w:sz w:val="32"/>
                <w:szCs w:val="32"/>
              </w:rPr>
              <w:t>可供</w:t>
            </w:r>
            <w:r w:rsidR="003726EE" w:rsidRPr="003E216E">
              <w:rPr>
                <w:rFonts w:ascii="標楷體" w:eastAsia="標楷體" w:hAnsi="標楷體" w:hint="eastAsia"/>
                <w:sz w:val="32"/>
                <w:szCs w:val="32"/>
              </w:rPr>
              <w:t>消費者</w:t>
            </w:r>
            <w:r w:rsidR="00DF1A80" w:rsidRPr="003E216E">
              <w:rPr>
                <w:rFonts w:ascii="標楷體" w:eastAsia="標楷體" w:hAnsi="標楷體" w:hint="eastAsia"/>
                <w:sz w:val="32"/>
                <w:szCs w:val="32"/>
              </w:rPr>
              <w:t>可</w:t>
            </w:r>
            <w:r w:rsidR="00150716" w:rsidRPr="003E216E">
              <w:rPr>
                <w:rFonts w:ascii="標楷體" w:eastAsia="標楷體" w:hAnsi="標楷體" w:hint="eastAsia"/>
                <w:sz w:val="32"/>
                <w:szCs w:val="32"/>
              </w:rPr>
              <w:t>就上述差異點簡易判別。</w:t>
            </w:r>
          </w:p>
        </w:tc>
      </w:tr>
    </w:tbl>
    <w:p w14:paraId="2D55C203" w14:textId="77777777" w:rsidR="0015619B" w:rsidRPr="009972A1" w:rsidRDefault="0015619B" w:rsidP="00DF1370">
      <w:pPr>
        <w:spacing w:line="500" w:lineRule="exact"/>
        <w:jc w:val="both"/>
        <w:rPr>
          <w:rFonts w:hint="eastAsia"/>
        </w:rPr>
      </w:pPr>
    </w:p>
    <w:sectPr w:rsidR="0015619B" w:rsidRPr="009972A1" w:rsidSect="00D923FF">
      <w:footerReference w:type="even" r:id="rId7"/>
      <w:footerReference w:type="default" r:id="rId8"/>
      <w:pgSz w:w="11906" w:h="16838"/>
      <w:pgMar w:top="1440" w:right="1304" w:bottom="1440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B4CDF" w14:textId="77777777" w:rsidR="006F1599" w:rsidRDefault="006F1599">
      <w:r>
        <w:separator/>
      </w:r>
    </w:p>
  </w:endnote>
  <w:endnote w:type="continuationSeparator" w:id="0">
    <w:p w14:paraId="4C5F910F" w14:textId="77777777" w:rsidR="006F1599" w:rsidRDefault="006F1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A7778" w14:textId="77777777" w:rsidR="005107B3" w:rsidRDefault="005107B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521612C1" w14:textId="77777777" w:rsidR="005107B3" w:rsidRDefault="005107B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139A3" w14:textId="77777777" w:rsidR="005107B3" w:rsidRDefault="005107B3">
    <w:pPr>
      <w:pStyle w:val="a3"/>
      <w:framePr w:wrap="around" w:vAnchor="text" w:hAnchor="margin" w:xAlign="center" w:y="1"/>
      <w:rPr>
        <w:rStyle w:val="a4"/>
      </w:rPr>
    </w:pPr>
  </w:p>
  <w:p w14:paraId="532CFC0E" w14:textId="77777777" w:rsidR="005107B3" w:rsidRDefault="005107B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A8D86" w14:textId="77777777" w:rsidR="006F1599" w:rsidRDefault="006F1599">
      <w:r>
        <w:separator/>
      </w:r>
    </w:p>
  </w:footnote>
  <w:footnote w:type="continuationSeparator" w:id="0">
    <w:p w14:paraId="2983BE72" w14:textId="77777777" w:rsidR="006F1599" w:rsidRDefault="006F15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45853"/>
    <w:multiLevelType w:val="hybridMultilevel"/>
    <w:tmpl w:val="4C9689DA"/>
    <w:lvl w:ilvl="0" w:tplc="FFE2087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7CF0986"/>
    <w:multiLevelType w:val="hybridMultilevel"/>
    <w:tmpl w:val="1642398C"/>
    <w:lvl w:ilvl="0" w:tplc="76FABA34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ED91C2E"/>
    <w:multiLevelType w:val="hybridMultilevel"/>
    <w:tmpl w:val="8408C2BA"/>
    <w:lvl w:ilvl="0" w:tplc="E27EAB70">
      <w:start w:val="1"/>
      <w:numFmt w:val="taiwaneseCountingThousand"/>
      <w:lvlText w:val="%1、"/>
      <w:lvlJc w:val="left"/>
      <w:pPr>
        <w:tabs>
          <w:tab w:val="num" w:pos="1039"/>
        </w:tabs>
        <w:ind w:left="1039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79"/>
        </w:tabs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9"/>
        </w:tabs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9"/>
        </w:tabs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9"/>
        </w:tabs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3" w15:restartNumberingAfterBreak="0">
    <w:nsid w:val="20062FF9"/>
    <w:multiLevelType w:val="hybridMultilevel"/>
    <w:tmpl w:val="820ED81A"/>
    <w:lvl w:ilvl="0" w:tplc="DDD49F0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5185121"/>
    <w:multiLevelType w:val="hybridMultilevel"/>
    <w:tmpl w:val="CCD832BA"/>
    <w:lvl w:ilvl="0" w:tplc="81CCCC44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8481EF9"/>
    <w:multiLevelType w:val="hybridMultilevel"/>
    <w:tmpl w:val="F7B219C6"/>
    <w:lvl w:ilvl="0" w:tplc="F694236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44BC701A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832A62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56A537F"/>
    <w:multiLevelType w:val="hybridMultilevel"/>
    <w:tmpl w:val="5ABA1EBE"/>
    <w:lvl w:ilvl="0" w:tplc="CA78EF5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41DB1DBC"/>
    <w:multiLevelType w:val="hybridMultilevel"/>
    <w:tmpl w:val="E188CD70"/>
    <w:lvl w:ilvl="0" w:tplc="D924F0B4">
      <w:start w:val="1"/>
      <w:numFmt w:val="taiwaneseCountingThousand"/>
      <w:lvlText w:val="%1、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3BA6C4B"/>
    <w:multiLevelType w:val="hybridMultilevel"/>
    <w:tmpl w:val="A9D832FC"/>
    <w:lvl w:ilvl="0" w:tplc="5494476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color w:val="auto"/>
        <w:w w:val="9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8327968"/>
    <w:multiLevelType w:val="hybridMultilevel"/>
    <w:tmpl w:val="E2486C7E"/>
    <w:lvl w:ilvl="0" w:tplc="D924F0B4">
      <w:start w:val="1"/>
      <w:numFmt w:val="taiwaneseCountingThousand"/>
      <w:lvlText w:val="%1、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0" w15:restartNumberingAfterBreak="0">
    <w:nsid w:val="5F545B15"/>
    <w:multiLevelType w:val="hybridMultilevel"/>
    <w:tmpl w:val="90385AAA"/>
    <w:lvl w:ilvl="0" w:tplc="F4CE196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69D84E53"/>
    <w:multiLevelType w:val="hybridMultilevel"/>
    <w:tmpl w:val="3AE48E2A"/>
    <w:lvl w:ilvl="0" w:tplc="67E680B4">
      <w:start w:val="1"/>
      <w:numFmt w:val="taiwaneseCountingThousand"/>
      <w:lvlText w:val="%1、"/>
      <w:lvlJc w:val="left"/>
      <w:pPr>
        <w:tabs>
          <w:tab w:val="num" w:pos="720"/>
        </w:tabs>
        <w:ind w:left="72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2" w15:restartNumberingAfterBreak="0">
    <w:nsid w:val="6EF57DCD"/>
    <w:multiLevelType w:val="hybridMultilevel"/>
    <w:tmpl w:val="26421976"/>
    <w:lvl w:ilvl="0" w:tplc="17F09322">
      <w:start w:val="1"/>
      <w:numFmt w:val="taiwaneseCountingThousand"/>
      <w:lvlText w:val="%1、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13" w15:restartNumberingAfterBreak="0">
    <w:nsid w:val="7A1C570E"/>
    <w:multiLevelType w:val="hybridMultilevel"/>
    <w:tmpl w:val="43EAEC84"/>
    <w:lvl w:ilvl="0" w:tplc="BD9C8AB2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11"/>
  </w:num>
  <w:num w:numId="8">
    <w:abstractNumId w:val="0"/>
  </w:num>
  <w:num w:numId="9">
    <w:abstractNumId w:val="13"/>
  </w:num>
  <w:num w:numId="10">
    <w:abstractNumId w:val="4"/>
  </w:num>
  <w:num w:numId="11">
    <w:abstractNumId w:val="9"/>
  </w:num>
  <w:num w:numId="12">
    <w:abstractNumId w:val="12"/>
  </w:num>
  <w:num w:numId="13">
    <w:abstractNumId w:val="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202"/>
    <w:rsid w:val="0002307F"/>
    <w:rsid w:val="00063CE0"/>
    <w:rsid w:val="000D1E0B"/>
    <w:rsid w:val="000D2210"/>
    <w:rsid w:val="00106A05"/>
    <w:rsid w:val="00150716"/>
    <w:rsid w:val="0015192A"/>
    <w:rsid w:val="0015619B"/>
    <w:rsid w:val="001700FC"/>
    <w:rsid w:val="001A1C7F"/>
    <w:rsid w:val="0023363C"/>
    <w:rsid w:val="0028150F"/>
    <w:rsid w:val="002F7830"/>
    <w:rsid w:val="00365066"/>
    <w:rsid w:val="003726EE"/>
    <w:rsid w:val="003A16FD"/>
    <w:rsid w:val="003A3D49"/>
    <w:rsid w:val="003E216E"/>
    <w:rsid w:val="004073E2"/>
    <w:rsid w:val="00424304"/>
    <w:rsid w:val="004414BD"/>
    <w:rsid w:val="004C2688"/>
    <w:rsid w:val="004F0D22"/>
    <w:rsid w:val="00505734"/>
    <w:rsid w:val="005107B3"/>
    <w:rsid w:val="00563F98"/>
    <w:rsid w:val="00606F42"/>
    <w:rsid w:val="00660D8F"/>
    <w:rsid w:val="006D468D"/>
    <w:rsid w:val="006F1599"/>
    <w:rsid w:val="00762280"/>
    <w:rsid w:val="00770202"/>
    <w:rsid w:val="00792D8D"/>
    <w:rsid w:val="007A3451"/>
    <w:rsid w:val="00861634"/>
    <w:rsid w:val="008A0537"/>
    <w:rsid w:val="00925AA2"/>
    <w:rsid w:val="00963C0A"/>
    <w:rsid w:val="0097728F"/>
    <w:rsid w:val="009972A1"/>
    <w:rsid w:val="009A1B78"/>
    <w:rsid w:val="009B1EF0"/>
    <w:rsid w:val="00A364AC"/>
    <w:rsid w:val="00A44103"/>
    <w:rsid w:val="00AD3506"/>
    <w:rsid w:val="00B233B7"/>
    <w:rsid w:val="00B24FD3"/>
    <w:rsid w:val="00B83ED4"/>
    <w:rsid w:val="00B9070F"/>
    <w:rsid w:val="00BA1A70"/>
    <w:rsid w:val="00BF4D79"/>
    <w:rsid w:val="00C24AD9"/>
    <w:rsid w:val="00CE2A5F"/>
    <w:rsid w:val="00D617A4"/>
    <w:rsid w:val="00D923FF"/>
    <w:rsid w:val="00D92BB2"/>
    <w:rsid w:val="00DB67D7"/>
    <w:rsid w:val="00DD5E40"/>
    <w:rsid w:val="00DE4C06"/>
    <w:rsid w:val="00DF1370"/>
    <w:rsid w:val="00DF1A80"/>
    <w:rsid w:val="00E71323"/>
    <w:rsid w:val="00EB3FD3"/>
    <w:rsid w:val="00EF0148"/>
    <w:rsid w:val="00F13258"/>
    <w:rsid w:val="00FC62B9"/>
    <w:rsid w:val="00FE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4:docId w14:val="7A3A97FF"/>
  <w15:chartTrackingRefBased/>
  <w15:docId w15:val="{7C61B247-FD50-47F0-BDB0-BCCF79EA8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pPr>
      <w:snapToGrid w:val="0"/>
      <w:spacing w:line="400" w:lineRule="atLeast"/>
      <w:ind w:left="1040" w:hangingChars="200" w:hanging="1040"/>
      <w:jc w:val="both"/>
    </w:pPr>
    <w:rPr>
      <w:rFonts w:ascii="標楷體" w:eastAsia="標楷體" w:hAnsi="標楷體"/>
      <w:sz w:val="52"/>
    </w:rPr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</w:style>
  <w:style w:type="paragraph" w:customStyle="1" w:styleId="newsdate">
    <w:name w:val="news_date"/>
    <w:basedOn w:val="a"/>
    <w:rsid w:val="00770202"/>
    <w:pPr>
      <w:widowControl/>
      <w:spacing w:before="100" w:after="100"/>
    </w:pPr>
    <w:rPr>
      <w:rFonts w:ascii="新細明體" w:hAnsi="新細明體" w:cs="新細明體"/>
      <w:spacing w:val="20"/>
      <w:kern w:val="0"/>
    </w:rPr>
  </w:style>
  <w:style w:type="character" w:styleId="a5">
    <w:name w:val="Hyperlink"/>
    <w:basedOn w:val="a0"/>
    <w:rsid w:val="000D1E0B"/>
    <w:rPr>
      <w:color w:val="0000FF"/>
      <w:u w:val="single"/>
    </w:rPr>
  </w:style>
  <w:style w:type="paragraph" w:customStyle="1" w:styleId="story">
    <w:name w:val="story"/>
    <w:basedOn w:val="a"/>
    <w:rsid w:val="0015619B"/>
    <w:pPr>
      <w:widowControl/>
      <w:spacing w:before="100" w:beforeAutospacing="1" w:after="100" w:afterAutospacing="1" w:line="360" w:lineRule="atLeast"/>
    </w:pPr>
    <w:rPr>
      <w:rFonts w:ascii="Verdana" w:hAnsi="Verdana" w:cs="新細明體"/>
      <w:color w:val="414141"/>
      <w:kern w:val="0"/>
      <w:sz w:val="22"/>
      <w:szCs w:val="22"/>
    </w:rPr>
  </w:style>
  <w:style w:type="paragraph" w:styleId="Web">
    <w:name w:val="Normal (Web)"/>
    <w:basedOn w:val="a"/>
    <w:rsid w:val="0015619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tory1">
    <w:name w:val="story1"/>
    <w:basedOn w:val="a0"/>
    <w:rsid w:val="0015619B"/>
    <w:rPr>
      <w:rFonts w:ascii="Verdana" w:hAnsi="Verdana" w:hint="default"/>
      <w:color w:val="414141"/>
      <w:sz w:val="22"/>
      <w:szCs w:val="22"/>
    </w:rPr>
  </w:style>
  <w:style w:type="character" w:customStyle="1" w:styleId="author1">
    <w:name w:val="author1"/>
    <w:basedOn w:val="a0"/>
    <w:rsid w:val="0015619B"/>
    <w:rPr>
      <w:rFonts w:ascii="Verdana" w:hAnsi="Verdana" w:hint="default"/>
      <w:color w:val="696969"/>
      <w:sz w:val="22"/>
      <w:szCs w:val="22"/>
    </w:rPr>
  </w:style>
  <w:style w:type="character" w:customStyle="1" w:styleId="t13b1">
    <w:name w:val="t13b1"/>
    <w:basedOn w:val="a0"/>
    <w:rsid w:val="0015619B"/>
    <w:rPr>
      <w:b/>
      <w:bCs/>
      <w:color w:val="2F7EBE"/>
      <w:sz w:val="26"/>
      <w:szCs w:val="26"/>
    </w:rPr>
  </w:style>
  <w:style w:type="character" w:customStyle="1" w:styleId="t111">
    <w:name w:val="t111"/>
    <w:basedOn w:val="a0"/>
    <w:rsid w:val="0015619B"/>
    <w:rPr>
      <w:rFonts w:ascii="Arial" w:hAnsi="Arial" w:cs="Arial" w:hint="default"/>
      <w:color w:val="828282"/>
      <w:sz w:val="22"/>
      <w:szCs w:val="22"/>
    </w:rPr>
  </w:style>
  <w:style w:type="paragraph" w:styleId="z-">
    <w:name w:val="HTML Top of Form"/>
    <w:basedOn w:val="a"/>
    <w:next w:val="a"/>
    <w:hidden/>
    <w:rsid w:val="0015619B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15619B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paragraph" w:styleId="a6">
    <w:name w:val="header"/>
    <w:basedOn w:val="a"/>
    <w:rsid w:val="001700FC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7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Company>mcoa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問題：國內肥料供需及因應措施</dc:title>
  <dc:subject/>
  <dc:creator>test</dc:creator>
  <cp:keywords/>
  <dc:description/>
  <cp:lastModifiedBy>Emma</cp:lastModifiedBy>
  <cp:revision>2</cp:revision>
  <cp:lastPrinted>2008-10-15T03:12:00Z</cp:lastPrinted>
  <dcterms:created xsi:type="dcterms:W3CDTF">2021-06-20T05:53:00Z</dcterms:created>
  <dcterms:modified xsi:type="dcterms:W3CDTF">2021-06-20T05:53:00Z</dcterms:modified>
</cp:coreProperties>
</file>