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3BCDE" w14:textId="77777777" w:rsidR="007619F8" w:rsidRPr="00F13A72" w:rsidRDefault="007619F8" w:rsidP="00F13A72">
      <w:pPr>
        <w:jc w:val="right"/>
        <w:rPr>
          <w:rFonts w:eastAsia="標楷體" w:hint="eastAsia"/>
          <w:b/>
          <w:sz w:val="28"/>
          <w:szCs w:val="28"/>
        </w:rPr>
      </w:pPr>
      <w:r w:rsidRPr="00F13A72">
        <w:rPr>
          <w:rFonts w:eastAsia="標楷體" w:hint="eastAsia"/>
          <w:b/>
          <w:sz w:val="28"/>
          <w:szCs w:val="28"/>
        </w:rPr>
        <w:t>附件</w:t>
      </w:r>
      <w:r w:rsidR="00473F01" w:rsidRPr="00F13A72">
        <w:rPr>
          <w:rFonts w:eastAsia="標楷體" w:hint="eastAsia"/>
          <w:b/>
          <w:sz w:val="28"/>
          <w:szCs w:val="28"/>
        </w:rPr>
        <w:t>2</w:t>
      </w:r>
    </w:p>
    <w:p w14:paraId="41A14A91" w14:textId="77777777" w:rsidR="007619F8" w:rsidRPr="00027AB1" w:rsidRDefault="007619F8" w:rsidP="007619F8">
      <w:pPr>
        <w:widowControl/>
        <w:numPr>
          <w:ilvl w:val="0"/>
          <w:numId w:val="3"/>
        </w:numPr>
        <w:snapToGrid w:val="0"/>
        <w:spacing w:line="480" w:lineRule="exact"/>
        <w:rPr>
          <w:rFonts w:eastAsia="標楷體" w:hint="eastAsia"/>
          <w:b/>
          <w:sz w:val="28"/>
          <w:szCs w:val="28"/>
        </w:rPr>
      </w:pPr>
      <w:r w:rsidRPr="00027AB1">
        <w:rPr>
          <w:rFonts w:eastAsia="標楷體"/>
          <w:b/>
          <w:sz w:val="28"/>
          <w:szCs w:val="28"/>
        </w:rPr>
        <w:t>磺胺劑及奎諾酮類</w:t>
      </w:r>
      <w:r w:rsidRPr="00027AB1">
        <w:rPr>
          <w:rFonts w:eastAsia="標楷體"/>
          <w:b/>
          <w:sz w:val="28"/>
          <w:szCs w:val="28"/>
        </w:rPr>
        <w:t>(48</w:t>
      </w:r>
      <w:r w:rsidRPr="00027AB1">
        <w:rPr>
          <w:rFonts w:eastAsia="標楷體"/>
          <w:b/>
          <w:sz w:val="28"/>
          <w:szCs w:val="28"/>
        </w:rPr>
        <w:t>項</w:t>
      </w:r>
      <w:r w:rsidRPr="00027AB1">
        <w:rPr>
          <w:rFonts w:eastAsia="標楷體"/>
          <w:b/>
          <w:sz w:val="28"/>
          <w:szCs w:val="28"/>
        </w:rPr>
        <w:t>)-</w:t>
      </w:r>
      <w:r w:rsidRPr="00027AB1">
        <w:rPr>
          <w:rFonts w:eastAsia="標楷體"/>
          <w:b/>
          <w:sz w:val="28"/>
          <w:szCs w:val="28"/>
        </w:rPr>
        <w:t>乳品</w:t>
      </w:r>
    </w:p>
    <w:p w14:paraId="63B6862C" w14:textId="77777777" w:rsidR="007619F8" w:rsidRDefault="00027AB1" w:rsidP="007619F8">
      <w:pPr>
        <w:widowControl/>
        <w:numPr>
          <w:ilvl w:val="0"/>
          <w:numId w:val="4"/>
        </w:numPr>
        <w:snapToGrid w:val="0"/>
        <w:spacing w:line="480" w:lineRule="exact"/>
        <w:ind w:left="851" w:hanging="284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檢測方法：衛福部食品藥物管理署</w:t>
      </w:r>
      <w:r w:rsidR="007619F8" w:rsidRPr="007619F8">
        <w:rPr>
          <w:rFonts w:eastAsia="標楷體"/>
          <w:sz w:val="28"/>
          <w:szCs w:val="28"/>
        </w:rPr>
        <w:t>102</w:t>
      </w:r>
      <w:r w:rsidR="007619F8" w:rsidRPr="007619F8">
        <w:rPr>
          <w:rFonts w:eastAsia="標楷體"/>
          <w:sz w:val="28"/>
          <w:szCs w:val="28"/>
        </w:rPr>
        <w:t>年</w:t>
      </w:r>
      <w:r w:rsidR="007619F8" w:rsidRPr="007619F8">
        <w:rPr>
          <w:rFonts w:eastAsia="標楷體"/>
          <w:sz w:val="28"/>
          <w:szCs w:val="28"/>
        </w:rPr>
        <w:t>9</w:t>
      </w:r>
      <w:r w:rsidR="007619F8" w:rsidRPr="007619F8">
        <w:rPr>
          <w:rFonts w:eastAsia="標楷體"/>
          <w:sz w:val="28"/>
          <w:szCs w:val="28"/>
        </w:rPr>
        <w:t>月</w:t>
      </w:r>
      <w:r w:rsidR="007619F8" w:rsidRPr="007619F8">
        <w:rPr>
          <w:rFonts w:eastAsia="標楷體"/>
          <w:sz w:val="28"/>
          <w:szCs w:val="28"/>
        </w:rPr>
        <w:t>6</w:t>
      </w:r>
      <w:r w:rsidR="007619F8" w:rsidRPr="007619F8">
        <w:rPr>
          <w:rFonts w:eastAsia="標楷體"/>
          <w:sz w:val="28"/>
          <w:szCs w:val="28"/>
        </w:rPr>
        <w:t>日部授食字第</w:t>
      </w:r>
      <w:r w:rsidR="007619F8" w:rsidRPr="007619F8">
        <w:rPr>
          <w:rFonts w:eastAsia="標楷體"/>
          <w:sz w:val="28"/>
          <w:szCs w:val="28"/>
        </w:rPr>
        <w:t>1021950329</w:t>
      </w:r>
      <w:r w:rsidR="007619F8" w:rsidRPr="007619F8">
        <w:rPr>
          <w:rFonts w:eastAsia="標楷體"/>
          <w:sz w:val="28"/>
          <w:szCs w:val="28"/>
        </w:rPr>
        <w:t>號公告修正檢驗方法食品中動物用藥殘留量檢驗方法</w:t>
      </w:r>
      <w:r>
        <w:rPr>
          <w:rFonts w:eastAsia="標楷體" w:hint="eastAsia"/>
          <w:sz w:val="28"/>
          <w:szCs w:val="28"/>
        </w:rPr>
        <w:t>-</w:t>
      </w:r>
      <w:r w:rsidR="007619F8" w:rsidRPr="007619F8">
        <w:rPr>
          <w:rFonts w:eastAsia="標楷體"/>
          <w:sz w:val="28"/>
          <w:szCs w:val="28"/>
        </w:rPr>
        <w:t>多重殘留分析</w:t>
      </w:r>
      <w:r w:rsidR="007619F8" w:rsidRPr="007619F8">
        <w:rPr>
          <w:rFonts w:eastAsia="標楷體"/>
          <w:sz w:val="28"/>
          <w:szCs w:val="28"/>
        </w:rPr>
        <w:t>(</w:t>
      </w:r>
      <w:r w:rsidR="007619F8" w:rsidRPr="007619F8">
        <w:rPr>
          <w:rFonts w:eastAsia="標楷體"/>
          <w:sz w:val="28"/>
          <w:szCs w:val="28"/>
        </w:rPr>
        <w:t>二</w:t>
      </w:r>
      <w:r w:rsidR="007619F8" w:rsidRPr="007619F8">
        <w:rPr>
          <w:rFonts w:eastAsia="標楷體"/>
          <w:sz w:val="28"/>
          <w:szCs w:val="28"/>
        </w:rPr>
        <w:t>)</w:t>
      </w:r>
    </w:p>
    <w:p w14:paraId="6C463C98" w14:textId="77777777" w:rsidR="007619F8" w:rsidRDefault="007619F8" w:rsidP="007619F8">
      <w:pPr>
        <w:widowControl/>
        <w:numPr>
          <w:ilvl w:val="0"/>
          <w:numId w:val="4"/>
        </w:numPr>
        <w:snapToGrid w:val="0"/>
        <w:spacing w:line="480" w:lineRule="exact"/>
        <w:ind w:left="851" w:hanging="284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定量極限：</w:t>
      </w:r>
    </w:p>
    <w:p w14:paraId="5D8F81A9" w14:textId="77777777" w:rsidR="007619F8" w:rsidRDefault="007619F8" w:rsidP="007619F8">
      <w:pPr>
        <w:widowControl/>
        <w:numPr>
          <w:ilvl w:val="0"/>
          <w:numId w:val="5"/>
        </w:numPr>
        <w:snapToGrid w:val="0"/>
        <w:spacing w:line="480" w:lineRule="exact"/>
        <w:rPr>
          <w:rFonts w:eastAsia="標楷體" w:hint="eastAsia"/>
          <w:sz w:val="28"/>
          <w:szCs w:val="28"/>
        </w:rPr>
      </w:pPr>
      <w:r w:rsidRPr="007619F8">
        <w:rPr>
          <w:rFonts w:eastAsia="標楷體"/>
          <w:sz w:val="28"/>
          <w:szCs w:val="28"/>
        </w:rPr>
        <w:t>azaperol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azaperone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ciprofloxacin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clopidol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danofloxacin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dicyclanil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difloxacin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enrofloxacin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eprinomectin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ethopabate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fleroxacin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flumequine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lomefloxacin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marbofloxacin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morantel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nalidixic acid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norfloxacin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oxolinic acid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pefloxacin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 xml:space="preserve"> pipemidic acid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piromidic acid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succinylsulfathiazole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sulfabenzamide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sulfacetamide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sulfadiazine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sarafloxacin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sulfadimethoxine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sulfadoxine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sulfaethoxypyridazine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sulfaguanidine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sulfamerazine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sulfameter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sulfamethazine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sulfamethizole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sulfamethoxazole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sulfamethoxypyridazine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sulfamonomethoxine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sulfapyridine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sulfaquinoxaline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sulfathiazole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sulfachlorpyridazine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sulfatroxazole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tetramisole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trichlorfon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 xml:space="preserve">trimethoprim </w:t>
      </w:r>
      <w:r w:rsidRPr="007619F8">
        <w:rPr>
          <w:rFonts w:eastAsia="標楷體"/>
          <w:sz w:val="28"/>
          <w:szCs w:val="28"/>
        </w:rPr>
        <w:t>等</w:t>
      </w:r>
      <w:r>
        <w:rPr>
          <w:rFonts w:eastAsia="標楷體" w:hint="eastAsia"/>
          <w:sz w:val="28"/>
          <w:szCs w:val="28"/>
        </w:rPr>
        <w:t>為</w:t>
      </w:r>
      <w:r w:rsidRPr="007619F8">
        <w:rPr>
          <w:rFonts w:eastAsia="標楷體"/>
          <w:sz w:val="28"/>
          <w:szCs w:val="28"/>
        </w:rPr>
        <w:t xml:space="preserve"> 0.01</w:t>
      </w:r>
      <w:r>
        <w:rPr>
          <w:rFonts w:eastAsia="標楷體" w:hint="eastAsia"/>
          <w:sz w:val="28"/>
          <w:szCs w:val="28"/>
        </w:rPr>
        <w:t xml:space="preserve"> </w:t>
      </w:r>
      <w:r w:rsidRPr="007619F8">
        <w:rPr>
          <w:rFonts w:eastAsia="標楷體"/>
          <w:sz w:val="28"/>
          <w:szCs w:val="28"/>
        </w:rPr>
        <w:t>ppm</w:t>
      </w:r>
      <w:r>
        <w:rPr>
          <w:rFonts w:eastAsia="標楷體" w:hint="eastAsia"/>
          <w:sz w:val="28"/>
          <w:szCs w:val="28"/>
        </w:rPr>
        <w:t>。</w:t>
      </w:r>
    </w:p>
    <w:p w14:paraId="656E26B4" w14:textId="77777777" w:rsidR="007619F8" w:rsidRDefault="007619F8" w:rsidP="007619F8">
      <w:pPr>
        <w:widowControl/>
        <w:numPr>
          <w:ilvl w:val="0"/>
          <w:numId w:val="5"/>
        </w:numPr>
        <w:snapToGrid w:val="0"/>
        <w:spacing w:line="480" w:lineRule="exact"/>
        <w:rPr>
          <w:rFonts w:eastAsia="標楷體" w:hint="eastAsia"/>
          <w:sz w:val="28"/>
          <w:szCs w:val="28"/>
        </w:rPr>
      </w:pPr>
      <w:r w:rsidRPr="007619F8">
        <w:rPr>
          <w:rFonts w:eastAsia="標楷體"/>
          <w:sz w:val="28"/>
          <w:szCs w:val="28"/>
        </w:rPr>
        <w:t>fluazuron</w:t>
      </w:r>
      <w:r w:rsidRPr="007619F8">
        <w:rPr>
          <w:rFonts w:eastAsia="標楷體"/>
          <w:sz w:val="28"/>
          <w:szCs w:val="28"/>
        </w:rPr>
        <w:t>、</w:t>
      </w:r>
      <w:r w:rsidRPr="007619F8">
        <w:rPr>
          <w:rFonts w:eastAsia="標楷體"/>
          <w:sz w:val="28"/>
          <w:szCs w:val="28"/>
        </w:rPr>
        <w:t>ormetoprim</w:t>
      </w:r>
      <w:r w:rsidRPr="007619F8">
        <w:rPr>
          <w:rFonts w:eastAsia="標楷體"/>
          <w:sz w:val="28"/>
          <w:szCs w:val="28"/>
        </w:rPr>
        <w:t>等</w:t>
      </w:r>
      <w:r>
        <w:rPr>
          <w:rFonts w:eastAsia="標楷體" w:hint="eastAsia"/>
          <w:sz w:val="28"/>
          <w:szCs w:val="28"/>
        </w:rPr>
        <w:t>為</w:t>
      </w:r>
      <w:r w:rsidRPr="007619F8">
        <w:rPr>
          <w:rFonts w:eastAsia="標楷體"/>
          <w:sz w:val="28"/>
          <w:szCs w:val="28"/>
        </w:rPr>
        <w:t>0.05</w:t>
      </w:r>
      <w:r>
        <w:rPr>
          <w:rFonts w:eastAsia="標楷體" w:hint="eastAsia"/>
          <w:sz w:val="28"/>
          <w:szCs w:val="28"/>
        </w:rPr>
        <w:t xml:space="preserve"> </w:t>
      </w:r>
      <w:r w:rsidRPr="007619F8">
        <w:rPr>
          <w:rFonts w:eastAsia="標楷體"/>
          <w:sz w:val="28"/>
          <w:szCs w:val="28"/>
        </w:rPr>
        <w:t>ppm</w:t>
      </w:r>
      <w:r>
        <w:rPr>
          <w:rFonts w:eastAsia="標楷體" w:hint="eastAsia"/>
          <w:sz w:val="28"/>
          <w:szCs w:val="28"/>
        </w:rPr>
        <w:t>。</w:t>
      </w:r>
    </w:p>
    <w:p w14:paraId="4DCFC053" w14:textId="77777777" w:rsidR="007619F8" w:rsidRDefault="007619F8" w:rsidP="007619F8">
      <w:pPr>
        <w:widowControl/>
        <w:numPr>
          <w:ilvl w:val="0"/>
          <w:numId w:val="5"/>
        </w:numPr>
        <w:snapToGrid w:val="0"/>
        <w:spacing w:line="480" w:lineRule="exact"/>
        <w:rPr>
          <w:rFonts w:eastAsia="標楷體" w:hint="eastAsia"/>
          <w:sz w:val="28"/>
          <w:szCs w:val="28"/>
        </w:rPr>
      </w:pPr>
      <w:r w:rsidRPr="007619F8">
        <w:rPr>
          <w:rFonts w:eastAsia="標楷體"/>
          <w:sz w:val="28"/>
          <w:szCs w:val="28"/>
        </w:rPr>
        <w:t>carazolol</w:t>
      </w:r>
      <w:r w:rsidRPr="007619F8">
        <w:rPr>
          <w:rFonts w:eastAsia="標楷體"/>
          <w:sz w:val="28"/>
          <w:szCs w:val="28"/>
        </w:rPr>
        <w:t>定量極限</w:t>
      </w:r>
      <w:r w:rsidRPr="007619F8">
        <w:rPr>
          <w:rFonts w:eastAsia="標楷體"/>
          <w:sz w:val="28"/>
          <w:szCs w:val="28"/>
        </w:rPr>
        <w:t xml:space="preserve"> 0.002ppm</w:t>
      </w:r>
      <w:r w:rsidRPr="007619F8">
        <w:rPr>
          <w:rFonts w:eastAsia="標楷體"/>
          <w:sz w:val="28"/>
          <w:szCs w:val="28"/>
        </w:rPr>
        <w:t>。</w:t>
      </w:r>
    </w:p>
    <w:p w14:paraId="36121070" w14:textId="77777777" w:rsidR="007619F8" w:rsidRPr="00027AB1" w:rsidRDefault="007619F8" w:rsidP="007619F8">
      <w:pPr>
        <w:widowControl/>
        <w:numPr>
          <w:ilvl w:val="0"/>
          <w:numId w:val="3"/>
        </w:numPr>
        <w:snapToGrid w:val="0"/>
        <w:spacing w:line="480" w:lineRule="exact"/>
        <w:rPr>
          <w:rFonts w:eastAsia="標楷體" w:hint="eastAsia"/>
          <w:b/>
          <w:sz w:val="28"/>
          <w:szCs w:val="28"/>
        </w:rPr>
      </w:pPr>
      <w:r w:rsidRPr="00027AB1">
        <w:rPr>
          <w:rFonts w:eastAsia="標楷體"/>
          <w:b/>
          <w:sz w:val="28"/>
          <w:szCs w:val="28"/>
        </w:rPr>
        <w:t>acetaminophen</w:t>
      </w:r>
    </w:p>
    <w:p w14:paraId="6E0D5BD2" w14:textId="77777777" w:rsidR="007619F8" w:rsidRDefault="00027AB1" w:rsidP="007619F8">
      <w:pPr>
        <w:widowControl/>
        <w:numPr>
          <w:ilvl w:val="0"/>
          <w:numId w:val="6"/>
        </w:numPr>
        <w:snapToGrid w:val="0"/>
        <w:spacing w:line="480" w:lineRule="exact"/>
        <w:ind w:left="851" w:hanging="284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檢測方法（</w:t>
      </w:r>
      <w:r w:rsidR="007619F8">
        <w:rPr>
          <w:rFonts w:eastAsia="標楷體" w:hint="eastAsia"/>
          <w:sz w:val="28"/>
          <w:szCs w:val="28"/>
        </w:rPr>
        <w:t>參考文獻</w:t>
      </w:r>
      <w:r>
        <w:rPr>
          <w:rFonts w:eastAsia="標楷體" w:hint="eastAsia"/>
          <w:sz w:val="28"/>
          <w:szCs w:val="28"/>
        </w:rPr>
        <w:t>）</w:t>
      </w:r>
      <w:r w:rsidR="007619F8">
        <w:rPr>
          <w:rFonts w:eastAsia="標楷體" w:hint="eastAsia"/>
          <w:sz w:val="28"/>
          <w:szCs w:val="28"/>
        </w:rPr>
        <w:t>：</w:t>
      </w:r>
    </w:p>
    <w:p w14:paraId="11887DE7" w14:textId="77777777" w:rsidR="007619F8" w:rsidRDefault="007619F8" w:rsidP="007619F8">
      <w:pPr>
        <w:widowControl/>
        <w:numPr>
          <w:ilvl w:val="0"/>
          <w:numId w:val="7"/>
        </w:numPr>
        <w:snapToGrid w:val="0"/>
        <w:spacing w:line="480" w:lineRule="exact"/>
        <w:rPr>
          <w:rFonts w:eastAsia="標楷體" w:hint="eastAsia"/>
          <w:sz w:val="28"/>
          <w:szCs w:val="28"/>
        </w:rPr>
      </w:pPr>
      <w:r w:rsidRPr="007619F8">
        <w:rPr>
          <w:rFonts w:eastAsia="標楷體"/>
          <w:sz w:val="28"/>
          <w:szCs w:val="28"/>
        </w:rPr>
        <w:t>China, Sensitive liquid chromatography-tandem mass spectrometry method for the simultaneous determination of paracetamol and guaifenesin in human plasma. January 2005.</w:t>
      </w:r>
    </w:p>
    <w:p w14:paraId="3C52CF13" w14:textId="77777777" w:rsidR="007619F8" w:rsidRDefault="007619F8" w:rsidP="007619F8">
      <w:pPr>
        <w:widowControl/>
        <w:numPr>
          <w:ilvl w:val="0"/>
          <w:numId w:val="7"/>
        </w:numPr>
        <w:snapToGrid w:val="0"/>
        <w:spacing w:line="480" w:lineRule="exact"/>
        <w:rPr>
          <w:rFonts w:eastAsia="標楷體" w:hint="eastAsia"/>
          <w:sz w:val="28"/>
          <w:szCs w:val="28"/>
        </w:rPr>
      </w:pPr>
      <w:r w:rsidRPr="007619F8">
        <w:rPr>
          <w:rFonts w:eastAsia="標楷體"/>
          <w:sz w:val="28"/>
          <w:szCs w:val="28"/>
        </w:rPr>
        <w:t>Australia, Development of HPLC-MS/MS method for the selective determination of paracetamol metabolites in mouse urine. August 2007.</w:t>
      </w:r>
    </w:p>
    <w:p w14:paraId="4FDEE2AB" w14:textId="77777777" w:rsidR="007619F8" w:rsidRDefault="007619F8" w:rsidP="007619F8">
      <w:pPr>
        <w:widowControl/>
        <w:numPr>
          <w:ilvl w:val="0"/>
          <w:numId w:val="7"/>
        </w:numPr>
        <w:snapToGrid w:val="0"/>
        <w:spacing w:line="480" w:lineRule="exact"/>
        <w:rPr>
          <w:rFonts w:eastAsia="標楷體" w:hint="eastAsia"/>
          <w:sz w:val="28"/>
          <w:szCs w:val="28"/>
        </w:rPr>
      </w:pPr>
      <w:r w:rsidRPr="007619F8">
        <w:rPr>
          <w:rFonts w:eastAsia="標楷體"/>
          <w:sz w:val="28"/>
          <w:szCs w:val="28"/>
        </w:rPr>
        <w:t>United States, A tandem mass spectrometry assay for the simultaneous determination of acetaminophen, caffeine, phenytoin, ranitidine, and theophylline in small volume pediatric plasma specimens. 2008.</w:t>
      </w:r>
    </w:p>
    <w:p w14:paraId="34AAA100" w14:textId="77777777" w:rsidR="007619F8" w:rsidRDefault="007619F8" w:rsidP="007619F8">
      <w:pPr>
        <w:widowControl/>
        <w:numPr>
          <w:ilvl w:val="0"/>
          <w:numId w:val="6"/>
        </w:numPr>
        <w:snapToGrid w:val="0"/>
        <w:spacing w:line="480" w:lineRule="exact"/>
        <w:ind w:left="851" w:hanging="284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定量極限：經方法確校後為</w:t>
      </w:r>
      <w:r>
        <w:rPr>
          <w:rFonts w:eastAsia="標楷體" w:hint="eastAsia"/>
          <w:sz w:val="28"/>
          <w:szCs w:val="28"/>
        </w:rPr>
        <w:t>5.0 ppb</w:t>
      </w:r>
    </w:p>
    <w:p w14:paraId="10EF3F8A" w14:textId="77777777" w:rsidR="00D31C5D" w:rsidRPr="00027AB1" w:rsidRDefault="00D31C5D" w:rsidP="007619F8">
      <w:pPr>
        <w:widowControl/>
        <w:numPr>
          <w:ilvl w:val="0"/>
          <w:numId w:val="3"/>
        </w:numPr>
        <w:snapToGrid w:val="0"/>
        <w:spacing w:line="480" w:lineRule="exact"/>
        <w:rPr>
          <w:rFonts w:eastAsia="標楷體"/>
          <w:b/>
          <w:sz w:val="28"/>
          <w:szCs w:val="28"/>
        </w:rPr>
      </w:pPr>
      <w:r w:rsidRPr="00027AB1">
        <w:rPr>
          <w:rFonts w:eastAsia="標楷體"/>
          <w:b/>
          <w:sz w:val="28"/>
          <w:szCs w:val="28"/>
        </w:rPr>
        <w:lastRenderedPageBreak/>
        <w:t>塑化劑</w:t>
      </w:r>
    </w:p>
    <w:p w14:paraId="45654FFF" w14:textId="77777777" w:rsidR="00D31C5D" w:rsidRDefault="00027AB1" w:rsidP="007619F8">
      <w:pPr>
        <w:widowControl/>
        <w:numPr>
          <w:ilvl w:val="0"/>
          <w:numId w:val="8"/>
        </w:numPr>
        <w:snapToGrid w:val="0"/>
        <w:spacing w:line="480" w:lineRule="exact"/>
        <w:ind w:left="851" w:hanging="284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檢測方法：衛福部食品藥物管理署</w:t>
      </w:r>
      <w:r w:rsidR="00D31C5D" w:rsidRPr="007619F8">
        <w:rPr>
          <w:rFonts w:eastAsia="標楷體"/>
          <w:sz w:val="28"/>
          <w:szCs w:val="28"/>
        </w:rPr>
        <w:t>102</w:t>
      </w:r>
      <w:r w:rsidR="00D31C5D" w:rsidRPr="007619F8">
        <w:rPr>
          <w:rFonts w:eastAsia="標楷體"/>
          <w:sz w:val="28"/>
          <w:szCs w:val="28"/>
        </w:rPr>
        <w:t>年</w:t>
      </w:r>
      <w:r w:rsidR="00D31C5D" w:rsidRPr="007619F8">
        <w:rPr>
          <w:rFonts w:eastAsia="標楷體"/>
          <w:sz w:val="28"/>
          <w:szCs w:val="28"/>
        </w:rPr>
        <w:t>3</w:t>
      </w:r>
      <w:r w:rsidR="00D31C5D" w:rsidRPr="007619F8">
        <w:rPr>
          <w:rFonts w:eastAsia="標楷體"/>
          <w:sz w:val="28"/>
          <w:szCs w:val="28"/>
        </w:rPr>
        <w:t>月</w:t>
      </w:r>
      <w:r w:rsidR="00D31C5D" w:rsidRPr="007619F8">
        <w:rPr>
          <w:rFonts w:eastAsia="標楷體"/>
          <w:sz w:val="28"/>
          <w:szCs w:val="28"/>
        </w:rPr>
        <w:t>25</w:t>
      </w:r>
      <w:r w:rsidR="00D31C5D" w:rsidRPr="007619F8">
        <w:rPr>
          <w:rFonts w:eastAsia="標楷體"/>
          <w:sz w:val="28"/>
          <w:szCs w:val="28"/>
        </w:rPr>
        <w:t>日</w:t>
      </w:r>
      <w:r w:rsidR="00325274" w:rsidRPr="007619F8">
        <w:rPr>
          <w:rFonts w:eastAsia="標楷體"/>
          <w:sz w:val="28"/>
          <w:szCs w:val="28"/>
        </w:rPr>
        <w:t>第二次</w:t>
      </w:r>
      <w:r w:rsidR="00D31C5D" w:rsidRPr="007619F8">
        <w:rPr>
          <w:rFonts w:eastAsia="標楷體"/>
          <w:sz w:val="28"/>
          <w:szCs w:val="28"/>
        </w:rPr>
        <w:t>公告</w:t>
      </w:r>
      <w:r w:rsidR="00325274" w:rsidRPr="007619F8">
        <w:rPr>
          <w:rFonts w:eastAsia="標楷體"/>
          <w:sz w:val="28"/>
          <w:szCs w:val="28"/>
        </w:rPr>
        <w:t>修正</w:t>
      </w:r>
      <w:r w:rsidR="00D31C5D" w:rsidRPr="007619F8">
        <w:rPr>
          <w:rFonts w:eastAsia="標楷體"/>
          <w:sz w:val="28"/>
          <w:szCs w:val="28"/>
        </w:rPr>
        <w:t>食品中鄰苯二甲酸酯類塑化劑檢驗方法</w:t>
      </w:r>
      <w:r>
        <w:rPr>
          <w:rFonts w:eastAsia="標楷體" w:hint="eastAsia"/>
          <w:sz w:val="28"/>
          <w:szCs w:val="28"/>
        </w:rPr>
        <w:t>。</w:t>
      </w:r>
    </w:p>
    <w:p w14:paraId="5ABAD2AF" w14:textId="55FBC895" w:rsidR="00584008" w:rsidRPr="00AC0F5E" w:rsidRDefault="00BB3E7F" w:rsidP="00027AB1">
      <w:pPr>
        <w:widowControl/>
        <w:numPr>
          <w:ilvl w:val="0"/>
          <w:numId w:val="8"/>
        </w:numPr>
        <w:snapToGrid w:val="0"/>
        <w:spacing w:line="480" w:lineRule="exact"/>
        <w:ind w:left="851" w:hanging="284"/>
        <w:rPr>
          <w:rFonts w:hint="eastAsia"/>
        </w:rPr>
      </w:pPr>
      <w:r w:rsidRPr="007619F8">
        <w:rPr>
          <w:rFonts w:eastAsia="標楷體"/>
          <w:noProof/>
          <w:color w:val="000000"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0A39D3BB" wp14:editId="153CBBC2">
            <wp:simplePos x="0" y="0"/>
            <wp:positionH relativeFrom="column">
              <wp:posOffset>603250</wp:posOffset>
            </wp:positionH>
            <wp:positionV relativeFrom="paragraph">
              <wp:posOffset>520065</wp:posOffset>
            </wp:positionV>
            <wp:extent cx="5481320" cy="4175125"/>
            <wp:effectExtent l="0" t="0" r="0" b="0"/>
            <wp:wrapTight wrapText="bothSides">
              <wp:wrapPolygon edited="0">
                <wp:start x="0" y="0"/>
                <wp:lineTo x="0" y="21485"/>
                <wp:lineTo x="21545" y="21485"/>
                <wp:lineTo x="21545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320" cy="417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AB1" w:rsidRPr="00027AB1">
        <w:rPr>
          <w:rFonts w:eastAsia="標楷體" w:hint="eastAsia"/>
          <w:sz w:val="28"/>
          <w:szCs w:val="28"/>
        </w:rPr>
        <w:t>定量極限：</w:t>
      </w:r>
    </w:p>
    <w:p w14:paraId="4C3176BD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20A51178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779BF624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353EC335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43D3931B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26BF5E42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168FCF96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261B7D84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07AB0A7F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47BE5FEF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6D733DB2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7912C8C0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60AC6DF3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5202FB63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5772E552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6DD46B41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09238F1B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3435C744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0E2A47FC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07183E94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482577CD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6071CA9D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0876CC65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508BEC9F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p w14:paraId="230176DD" w14:textId="77777777" w:rsidR="00AC0F5E" w:rsidRDefault="00AC0F5E" w:rsidP="00AC0F5E">
      <w:pPr>
        <w:widowControl/>
        <w:snapToGrid w:val="0"/>
        <w:spacing w:line="480" w:lineRule="exact"/>
        <w:rPr>
          <w:rFonts w:eastAsia="標楷體" w:hint="eastAsia"/>
          <w:sz w:val="28"/>
          <w:szCs w:val="28"/>
        </w:rPr>
      </w:pPr>
    </w:p>
    <w:sectPr w:rsidR="00AC0F5E" w:rsidSect="007619F8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A38C8" w14:textId="77777777" w:rsidR="007745EC" w:rsidRDefault="007745EC" w:rsidP="003E11D0">
      <w:pPr>
        <w:spacing w:line="240" w:lineRule="auto"/>
      </w:pPr>
      <w:r>
        <w:separator/>
      </w:r>
    </w:p>
  </w:endnote>
  <w:endnote w:type="continuationSeparator" w:id="0">
    <w:p w14:paraId="7C1DD125" w14:textId="77777777" w:rsidR="007745EC" w:rsidRDefault="007745EC" w:rsidP="003E11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B9431" w14:textId="77777777" w:rsidR="007745EC" w:rsidRDefault="007745EC" w:rsidP="003E11D0">
      <w:pPr>
        <w:spacing w:line="240" w:lineRule="auto"/>
      </w:pPr>
      <w:r>
        <w:separator/>
      </w:r>
    </w:p>
  </w:footnote>
  <w:footnote w:type="continuationSeparator" w:id="0">
    <w:p w14:paraId="69449A09" w14:textId="77777777" w:rsidR="007745EC" w:rsidRDefault="007745EC" w:rsidP="003E11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D757C"/>
    <w:multiLevelType w:val="hybridMultilevel"/>
    <w:tmpl w:val="71D6C36E"/>
    <w:lvl w:ilvl="0" w:tplc="826E3F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CB2ED3"/>
    <w:multiLevelType w:val="hybridMultilevel"/>
    <w:tmpl w:val="AF40C592"/>
    <w:lvl w:ilvl="0" w:tplc="20081B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" w15:restartNumberingAfterBreak="0">
    <w:nsid w:val="232E61A0"/>
    <w:multiLevelType w:val="hybridMultilevel"/>
    <w:tmpl w:val="FF68C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CA573C"/>
    <w:multiLevelType w:val="hybridMultilevel"/>
    <w:tmpl w:val="C55284FC"/>
    <w:lvl w:ilvl="0" w:tplc="0F2E9E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96138C"/>
    <w:multiLevelType w:val="hybridMultilevel"/>
    <w:tmpl w:val="EADCB426"/>
    <w:lvl w:ilvl="0" w:tplc="3C001624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60DE7A4D"/>
    <w:multiLevelType w:val="hybridMultilevel"/>
    <w:tmpl w:val="71EE4ACC"/>
    <w:lvl w:ilvl="0" w:tplc="ABEE34D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7154CCF"/>
    <w:multiLevelType w:val="hybridMultilevel"/>
    <w:tmpl w:val="C55284FC"/>
    <w:lvl w:ilvl="0" w:tplc="0F2E9E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FA60191"/>
    <w:multiLevelType w:val="hybridMultilevel"/>
    <w:tmpl w:val="FA8EC5EE"/>
    <w:lvl w:ilvl="0" w:tplc="C494DB6A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7FE96741"/>
    <w:multiLevelType w:val="hybridMultilevel"/>
    <w:tmpl w:val="B4940E7A"/>
    <w:lvl w:ilvl="0" w:tplc="0B727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08"/>
    <w:rsid w:val="00027AB1"/>
    <w:rsid w:val="00216F81"/>
    <w:rsid w:val="00325274"/>
    <w:rsid w:val="0036358F"/>
    <w:rsid w:val="003E11D0"/>
    <w:rsid w:val="00473F01"/>
    <w:rsid w:val="004F74AF"/>
    <w:rsid w:val="00566CA2"/>
    <w:rsid w:val="0058199F"/>
    <w:rsid w:val="00584008"/>
    <w:rsid w:val="007619F8"/>
    <w:rsid w:val="007745EC"/>
    <w:rsid w:val="009235AC"/>
    <w:rsid w:val="00A71873"/>
    <w:rsid w:val="00AC0F5E"/>
    <w:rsid w:val="00BB3E7F"/>
    <w:rsid w:val="00C74D4D"/>
    <w:rsid w:val="00D31C5D"/>
    <w:rsid w:val="00D53B96"/>
    <w:rsid w:val="00E56D30"/>
    <w:rsid w:val="00EA67B2"/>
    <w:rsid w:val="00ED585B"/>
    <w:rsid w:val="00F1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8AB310"/>
  <w15:chartTrackingRefBased/>
  <w15:docId w15:val="{9AA99AE8-7352-414B-88DE-A795BBAE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008"/>
    <w:pPr>
      <w:widowControl w:val="0"/>
      <w:adjustRightInd w:val="0"/>
      <w:spacing w:line="360" w:lineRule="atLeast"/>
      <w:textAlignment w:val="baseline"/>
    </w:pPr>
    <w:rPr>
      <w:rFonts w:eastAsia="細明體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584008"/>
    <w:pPr>
      <w:adjustRightInd/>
      <w:spacing w:line="240" w:lineRule="auto"/>
      <w:jc w:val="right"/>
      <w:textAlignment w:val="auto"/>
    </w:pPr>
    <w:rPr>
      <w:rFonts w:eastAsia="新細明體"/>
      <w:kern w:val="2"/>
    </w:rPr>
  </w:style>
  <w:style w:type="paragraph" w:styleId="a4">
    <w:name w:val="header"/>
    <w:basedOn w:val="a"/>
    <w:link w:val="a5"/>
    <w:rsid w:val="003E11D0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5">
    <w:name w:val="頁首 字元"/>
    <w:link w:val="a4"/>
    <w:rsid w:val="003E11D0"/>
    <w:rPr>
      <w:rFonts w:eastAsia="細明體"/>
    </w:rPr>
  </w:style>
  <w:style w:type="paragraph" w:styleId="a6">
    <w:name w:val="footer"/>
    <w:basedOn w:val="a"/>
    <w:link w:val="a7"/>
    <w:rsid w:val="003E11D0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尾 字元"/>
    <w:link w:val="a6"/>
    <w:rsid w:val="003E11D0"/>
    <w:rPr>
      <w:rFonts w:eastAsia="細明體"/>
    </w:rPr>
  </w:style>
  <w:style w:type="table" w:styleId="a8">
    <w:name w:val="Table Grid"/>
    <w:basedOn w:val="a1"/>
    <w:uiPriority w:val="59"/>
    <w:rsid w:val="00473F0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73F01"/>
    <w:pPr>
      <w:adjustRightInd/>
      <w:spacing w:line="240" w:lineRule="auto"/>
      <w:ind w:leftChars="200" w:left="480"/>
      <w:textAlignment w:val="auto"/>
    </w:pPr>
    <w:rPr>
      <w:rFonts w:ascii="Calibri" w:eastAsia="新細明體" w:hAnsi="Calibri"/>
      <w:kern w:val="2"/>
      <w:szCs w:val="22"/>
    </w:rPr>
  </w:style>
  <w:style w:type="paragraph" w:styleId="aa">
    <w:name w:val="Balloon Text"/>
    <w:basedOn w:val="a"/>
    <w:link w:val="ab"/>
    <w:rsid w:val="00AC0F5E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basedOn w:val="a0"/>
    <w:link w:val="aa"/>
    <w:rsid w:val="00AC0F5E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1218</Characters>
  <Application>Microsoft Office Word</Application>
  <DocSecurity>0</DocSecurity>
  <Lines>10</Lines>
  <Paragraphs>2</Paragraphs>
  <ScaleCrop>false</ScaleCrop>
  <Company>HOME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參考文獻：</dc:title>
  <dc:subject/>
  <dc:creator>TARA1_陳月娥</dc:creator>
  <cp:keywords/>
  <cp:lastModifiedBy>Emma</cp:lastModifiedBy>
  <cp:revision>2</cp:revision>
  <cp:lastPrinted>2013-11-22T06:07:00Z</cp:lastPrinted>
  <dcterms:created xsi:type="dcterms:W3CDTF">2021-06-20T11:47:00Z</dcterms:created>
  <dcterms:modified xsi:type="dcterms:W3CDTF">2021-06-20T11:47:00Z</dcterms:modified>
</cp:coreProperties>
</file>