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0A7" w:rsidRDefault="001E00A7">
      <w:pPr>
        <w:jc w:val="center"/>
        <w:rPr>
          <w:rFonts w:ascii="標楷體" w:eastAsia="標楷體" w:hAnsi="標楷體" w:hint="eastAsia"/>
          <w:sz w:val="40"/>
          <w:szCs w:val="40"/>
        </w:rPr>
      </w:pPr>
      <w:bookmarkStart w:id="0" w:name="_GoBack"/>
      <w:bookmarkEnd w:id="0"/>
      <w:r>
        <w:rPr>
          <w:rFonts w:ascii="標楷體" w:eastAsia="標楷體" w:hAnsi="新細明體" w:hint="eastAsia"/>
          <w:sz w:val="40"/>
        </w:rPr>
        <w:t>投資經營非我國籍漁船作業辦法草案</w:t>
      </w:r>
      <w:r>
        <w:rPr>
          <w:rFonts w:ascii="標楷體" w:eastAsia="標楷體" w:hAnsi="標楷體" w:hint="eastAsia"/>
          <w:sz w:val="40"/>
          <w:szCs w:val="40"/>
        </w:rPr>
        <w:t>總說明</w:t>
      </w:r>
    </w:p>
    <w:p w:rsidR="001E00A7" w:rsidRDefault="001E00A7">
      <w:pPr>
        <w:rPr>
          <w:rFonts w:ascii="標楷體" w:eastAsia="標楷體" w:hAnsi="標楷體" w:hint="eastAsia"/>
          <w:sz w:val="28"/>
          <w:szCs w:val="28"/>
        </w:rPr>
      </w:pPr>
      <w:r>
        <w:rPr>
          <w:rFonts w:ascii="標楷體" w:eastAsia="標楷體" w:hAnsi="標楷體" w:hint="eastAsia"/>
          <w:sz w:val="28"/>
          <w:szCs w:val="28"/>
        </w:rPr>
        <w:t xml:space="preserve">    </w:t>
      </w:r>
    </w:p>
    <w:p w:rsidR="001E00A7" w:rsidRDefault="001E00A7">
      <w:pPr>
        <w:spacing w:line="460" w:lineRule="exact"/>
        <w:ind w:firstLine="560"/>
        <w:jc w:val="both"/>
        <w:rPr>
          <w:rFonts w:ascii="Arial Unicode MS" w:eastAsia="標楷體" w:hAnsi="Arial Unicode MS"/>
          <w:vanish/>
          <w:sz w:val="28"/>
        </w:rPr>
      </w:pPr>
      <w:r>
        <w:rPr>
          <w:rFonts w:ascii="標楷體" w:eastAsia="標楷體" w:hAnsi="標楷體" w:hint="eastAsia"/>
          <w:sz w:val="28"/>
        </w:rPr>
        <w:t xml:space="preserve">投資經營非我國籍漁船管理條例（以下簡稱本條例）經　</w:t>
      </w:r>
      <w:r>
        <w:rPr>
          <w:rFonts w:ascii="Georgia" w:eastAsia="標楷體" w:hAnsi="Georgia" w:hint="eastAsia"/>
          <w:sz w:val="28"/>
        </w:rPr>
        <w:t>總統於九十七年十二月十七日公布，本條例第六條第一項規定</w:t>
      </w:r>
      <w:r>
        <w:rPr>
          <w:rFonts w:eastAsia="標楷體" w:hint="eastAsia"/>
          <w:sz w:val="28"/>
        </w:rPr>
        <w:t>「我國人投資經營非我國籍漁船，於海外從事漁業，除應依第四條規定取得許可外，並應遵守主管機關參酌國際漁業組織保育措施訂定之作業辦法」</w:t>
      </w:r>
      <w:r>
        <w:rPr>
          <w:rFonts w:ascii="Georgia" w:eastAsia="標楷體" w:hAnsi="Georgia" w:hint="eastAsia"/>
          <w:sz w:val="28"/>
        </w:rPr>
        <w:t>，為期順利推動本條例之施行，爰擬具「</w:t>
      </w:r>
      <w:r>
        <w:rPr>
          <w:rFonts w:ascii="標楷體" w:eastAsia="標楷體" w:hAnsi="新細明體" w:hint="eastAsia"/>
          <w:sz w:val="28"/>
        </w:rPr>
        <w:t>投資經營非我國籍漁船作業辦法</w:t>
      </w:r>
      <w:r>
        <w:rPr>
          <w:rFonts w:ascii="Georgia" w:eastAsia="標楷體" w:hAnsi="Georgia" w:hint="eastAsia"/>
          <w:sz w:val="28"/>
        </w:rPr>
        <w:t>」</w:t>
      </w:r>
      <w:r>
        <w:rPr>
          <w:rFonts w:ascii="標楷體" w:eastAsia="標楷體" w:hAnsi="標楷體" w:hint="eastAsia"/>
          <w:sz w:val="28"/>
        </w:rPr>
        <w:t>（以下簡稱本辦法）</w:t>
      </w:r>
      <w:r>
        <w:rPr>
          <w:rFonts w:ascii="Georgia" w:eastAsia="標楷體" w:hAnsi="Georgia" w:hint="eastAsia"/>
          <w:sz w:val="28"/>
        </w:rPr>
        <w:t>草案，計六條，其要點如次：</w:t>
      </w:r>
    </w:p>
    <w:p w:rsidR="001E00A7" w:rsidRDefault="001E00A7">
      <w:pPr>
        <w:spacing w:line="460" w:lineRule="exact"/>
        <w:jc w:val="both"/>
        <w:rPr>
          <w:rFonts w:ascii="標楷體" w:eastAsia="標楷體" w:hAnsi="標楷體" w:hint="eastAsia"/>
          <w:sz w:val="28"/>
          <w:szCs w:val="28"/>
        </w:rPr>
      </w:pPr>
    </w:p>
    <w:p w:rsidR="001E00A7" w:rsidRDefault="001E00A7">
      <w:pPr>
        <w:spacing w:line="460" w:lineRule="exact"/>
        <w:rPr>
          <w:rFonts w:ascii="標楷體" w:eastAsia="標楷體" w:hAnsi="標楷體" w:hint="eastAsia"/>
          <w:sz w:val="28"/>
          <w:szCs w:val="28"/>
        </w:rPr>
      </w:pPr>
      <w:r>
        <w:rPr>
          <w:rFonts w:ascii="標楷體" w:eastAsia="標楷體" w:hAnsi="標楷體" w:hint="eastAsia"/>
          <w:sz w:val="28"/>
          <w:szCs w:val="28"/>
        </w:rPr>
        <w:t>一、本辦法之法源依據。（草案第一條）</w:t>
      </w:r>
    </w:p>
    <w:p w:rsidR="001E00A7" w:rsidRDefault="001E0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560" w:hanging="560"/>
        <w:rPr>
          <w:rFonts w:ascii="標楷體" w:eastAsia="標楷體" w:hAnsi="標楷體" w:hint="eastAsia"/>
          <w:sz w:val="28"/>
          <w:szCs w:val="28"/>
        </w:rPr>
      </w:pPr>
      <w:r>
        <w:rPr>
          <w:rFonts w:ascii="標楷體" w:eastAsia="標楷體" w:hAnsi="標楷體" w:hint="eastAsia"/>
          <w:sz w:val="28"/>
          <w:szCs w:val="28"/>
        </w:rPr>
        <w:t>二、</w:t>
      </w:r>
      <w:r>
        <w:rPr>
          <w:rFonts w:ascii="標楷體" w:eastAsia="標楷體" w:hAnsi="標楷體" w:hint="eastAsia"/>
          <w:sz w:val="28"/>
        </w:rPr>
        <w:t>漁船</w:t>
      </w:r>
      <w:r>
        <w:rPr>
          <w:rFonts w:ascii="標楷體" w:eastAsia="標楷體" w:hAnsi="標楷體" w:hint="eastAsia"/>
          <w:bCs/>
          <w:sz w:val="28"/>
        </w:rPr>
        <w:t>漁業種類及作業水域為國際漁業組織實施作業漁船名單措施者，</w:t>
      </w:r>
      <w:r>
        <w:rPr>
          <w:rFonts w:ascii="標楷體" w:eastAsia="標楷體" w:hAnsi="標楷體" w:hint="eastAsia"/>
          <w:sz w:val="28"/>
        </w:rPr>
        <w:t>漁船應經國際漁業組織納入作業漁船名單後，始能出港作業。</w:t>
      </w:r>
      <w:r>
        <w:rPr>
          <w:rFonts w:ascii="標楷體" w:eastAsia="標楷體" w:hAnsi="標楷體" w:hint="eastAsia"/>
          <w:sz w:val="28"/>
          <w:szCs w:val="28"/>
        </w:rPr>
        <w:t>（草案第二條）</w:t>
      </w:r>
    </w:p>
    <w:p w:rsidR="001E00A7" w:rsidRDefault="001E00A7">
      <w:pPr>
        <w:spacing w:line="460" w:lineRule="exact"/>
        <w:ind w:left="560" w:hanging="560"/>
        <w:rPr>
          <w:rFonts w:ascii="標楷體" w:eastAsia="標楷體" w:hAnsi="標楷體" w:hint="eastAsia"/>
          <w:sz w:val="28"/>
          <w:szCs w:val="28"/>
        </w:rPr>
      </w:pPr>
      <w:r>
        <w:rPr>
          <w:rFonts w:ascii="標楷體" w:eastAsia="標楷體" w:hAnsi="標楷體" w:hint="eastAsia"/>
          <w:sz w:val="28"/>
          <w:szCs w:val="28"/>
        </w:rPr>
        <w:t>三、</w:t>
      </w:r>
      <w:r>
        <w:rPr>
          <w:rFonts w:ascii="標楷體" w:eastAsia="標楷體" w:hAnsi="標楷體" w:hint="eastAsia"/>
          <w:sz w:val="28"/>
        </w:rPr>
        <w:t>漁船出港作業後，應依船籍國核准之水域作業。</w:t>
      </w:r>
      <w:r>
        <w:rPr>
          <w:rFonts w:ascii="標楷體" w:eastAsia="標楷體" w:hAnsi="標楷體" w:hint="eastAsia"/>
          <w:sz w:val="28"/>
          <w:szCs w:val="28"/>
        </w:rPr>
        <w:t>（草案第三條）</w:t>
      </w:r>
    </w:p>
    <w:p w:rsidR="001E00A7" w:rsidRDefault="001E00A7">
      <w:pPr>
        <w:spacing w:line="460" w:lineRule="exact"/>
        <w:rPr>
          <w:rFonts w:ascii="標楷體" w:eastAsia="標楷體" w:hAnsi="標楷體" w:hint="eastAsia"/>
          <w:sz w:val="28"/>
          <w:szCs w:val="28"/>
        </w:rPr>
      </w:pPr>
      <w:r>
        <w:rPr>
          <w:rFonts w:ascii="標楷體" w:eastAsia="標楷體" w:hAnsi="標楷體" w:hint="eastAsia"/>
          <w:sz w:val="28"/>
          <w:szCs w:val="28"/>
        </w:rPr>
        <w:t>四、</w:t>
      </w:r>
      <w:r>
        <w:rPr>
          <w:rFonts w:ascii="標楷體" w:eastAsia="標楷體" w:hAnsi="標楷體" w:hint="eastAsia"/>
          <w:sz w:val="28"/>
        </w:rPr>
        <w:t>漁船出港作業後，應遵守之作業規定項目。</w:t>
      </w:r>
      <w:r>
        <w:rPr>
          <w:rFonts w:ascii="標楷體" w:eastAsia="標楷體" w:hAnsi="標楷體" w:hint="eastAsia"/>
          <w:sz w:val="28"/>
          <w:szCs w:val="28"/>
        </w:rPr>
        <w:t>（草案第四條）</w:t>
      </w:r>
    </w:p>
    <w:p w:rsidR="001E00A7" w:rsidRDefault="001E00A7">
      <w:pPr>
        <w:spacing w:line="460" w:lineRule="exact"/>
        <w:rPr>
          <w:rFonts w:ascii="標楷體" w:eastAsia="標楷體" w:hAnsi="標楷體" w:hint="eastAsia"/>
          <w:sz w:val="28"/>
          <w:szCs w:val="28"/>
        </w:rPr>
      </w:pPr>
      <w:r>
        <w:rPr>
          <w:rFonts w:ascii="標楷體" w:eastAsia="標楷體" w:hAnsi="標楷體" w:hint="eastAsia"/>
          <w:sz w:val="28"/>
          <w:szCs w:val="28"/>
        </w:rPr>
        <w:t>五、本辦法之施行日期。（草案第五條）</w:t>
      </w:r>
    </w:p>
    <w:p w:rsidR="001E00A7" w:rsidRDefault="001E00A7">
      <w:pPr>
        <w:spacing w:line="0" w:lineRule="atLeast"/>
        <w:rPr>
          <w:rFonts w:ascii="標楷體" w:eastAsia="標楷體" w:hint="eastAsia"/>
          <w:sz w:val="40"/>
        </w:rPr>
      </w:pPr>
      <w:r>
        <w:rPr>
          <w:rFonts w:ascii="標楷體" w:eastAsia="標楷體" w:hAnsi="新細明體"/>
          <w:sz w:val="40"/>
        </w:rPr>
        <w:br w:type="page"/>
      </w:r>
      <w:r>
        <w:rPr>
          <w:rFonts w:ascii="標楷體" w:eastAsia="標楷體" w:hAnsi="新細明體" w:hint="eastAsia"/>
          <w:sz w:val="40"/>
        </w:rPr>
        <w:lastRenderedPageBreak/>
        <w:t>投資經營非我國籍漁船作業辦法草案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4"/>
        <w:gridCol w:w="4914"/>
      </w:tblGrid>
      <w:tr w:rsidR="001E00A7">
        <w:tc>
          <w:tcPr>
            <w:tcW w:w="4914" w:type="dxa"/>
          </w:tcPr>
          <w:p w:rsidR="001E00A7" w:rsidRDefault="001E00A7">
            <w:pPr>
              <w:spacing w:line="0" w:lineRule="atLeast"/>
              <w:jc w:val="center"/>
              <w:rPr>
                <w:rFonts w:ascii="標楷體" w:eastAsia="標楷體" w:hAnsi="標楷體" w:hint="eastAsia"/>
              </w:rPr>
            </w:pPr>
            <w:r>
              <w:rPr>
                <w:rFonts w:ascii="標楷體" w:eastAsia="標楷體" w:hAnsi="標楷體" w:hint="eastAsia"/>
              </w:rPr>
              <w:t>條文</w:t>
            </w:r>
          </w:p>
        </w:tc>
        <w:tc>
          <w:tcPr>
            <w:tcW w:w="4914" w:type="dxa"/>
          </w:tcPr>
          <w:p w:rsidR="001E00A7" w:rsidRDefault="001E00A7">
            <w:pPr>
              <w:spacing w:line="0" w:lineRule="atLeast"/>
              <w:jc w:val="center"/>
              <w:rPr>
                <w:rFonts w:ascii="標楷體" w:eastAsia="標楷體" w:hAnsi="標楷體" w:hint="eastAsia"/>
              </w:rPr>
            </w:pPr>
            <w:r>
              <w:rPr>
                <w:rFonts w:ascii="標楷體" w:eastAsia="標楷體" w:hAnsi="標楷體" w:hint="eastAsia"/>
              </w:rPr>
              <w:t>說明</w:t>
            </w:r>
          </w:p>
        </w:tc>
      </w:tr>
      <w:tr w:rsidR="001E00A7">
        <w:tc>
          <w:tcPr>
            <w:tcW w:w="4914" w:type="dxa"/>
          </w:tcPr>
          <w:p w:rsidR="001E00A7" w:rsidRDefault="001E00A7">
            <w:pPr>
              <w:spacing w:line="0" w:lineRule="atLeast"/>
              <w:ind w:left="240" w:hanging="240"/>
              <w:jc w:val="both"/>
              <w:rPr>
                <w:rFonts w:ascii="標楷體" w:eastAsia="標楷體" w:hAnsi="標楷體" w:hint="eastAsia"/>
              </w:rPr>
            </w:pPr>
            <w:r>
              <w:rPr>
                <w:rFonts w:ascii="標楷體" w:eastAsia="標楷體" w:hAnsi="標楷體" w:hint="eastAsia"/>
              </w:rPr>
              <w:t>第一條  本辦法依投資經營非我國籍漁船管理條例（以下簡稱本條例）第六條第一項規定訂定之。</w:t>
            </w:r>
          </w:p>
        </w:tc>
        <w:tc>
          <w:tcPr>
            <w:tcW w:w="4914" w:type="dxa"/>
          </w:tcPr>
          <w:p w:rsidR="001E00A7" w:rsidRDefault="001E00A7">
            <w:pPr>
              <w:spacing w:line="0" w:lineRule="atLeast"/>
              <w:jc w:val="both"/>
              <w:rPr>
                <w:rFonts w:ascii="標楷體" w:eastAsia="標楷體" w:hAnsi="標楷體" w:hint="eastAsia"/>
              </w:rPr>
            </w:pPr>
            <w:r>
              <w:rPr>
                <w:rFonts w:ascii="標楷體" w:eastAsia="標楷體" w:hAnsi="標楷體" w:hint="eastAsia"/>
              </w:rPr>
              <w:t>本辦法之法源依據。</w:t>
            </w:r>
          </w:p>
        </w:tc>
      </w:tr>
      <w:tr w:rsidR="001E00A7">
        <w:tc>
          <w:tcPr>
            <w:tcW w:w="4914" w:type="dxa"/>
          </w:tcPr>
          <w:p w:rsidR="001E00A7" w:rsidRDefault="001E00A7">
            <w:pPr>
              <w:spacing w:line="0" w:lineRule="atLeast"/>
              <w:ind w:left="240" w:hanging="240"/>
              <w:jc w:val="both"/>
              <w:rPr>
                <w:rFonts w:ascii="標楷體" w:eastAsia="標楷體" w:hAnsi="標楷體" w:hint="eastAsia"/>
              </w:rPr>
            </w:pPr>
            <w:r>
              <w:rPr>
                <w:rFonts w:ascii="標楷體" w:eastAsia="標楷體" w:hAnsi="標楷體" w:hint="eastAsia"/>
              </w:rPr>
              <w:t>第二條　我國人經許可投資經營非我國籍漁船，</w:t>
            </w:r>
            <w:r>
              <w:rPr>
                <w:rFonts w:ascii="標楷體" w:eastAsia="標楷體" w:hAnsi="標楷體" w:hint="eastAsia"/>
                <w:bCs/>
              </w:rPr>
              <w:t>該漁船之漁業種類及作業水域為國際漁業組織實施作業漁船名單措施者，該</w:t>
            </w:r>
            <w:r>
              <w:rPr>
                <w:rFonts w:ascii="標楷體" w:eastAsia="標楷體" w:hAnsi="標楷體" w:hint="eastAsia"/>
              </w:rPr>
              <w:t>漁船應經船籍國許可提報國際漁業組織納入作業漁船名單後，始能出港作業。</w:t>
            </w:r>
          </w:p>
        </w:tc>
        <w:tc>
          <w:tcPr>
            <w:tcW w:w="4914" w:type="dxa"/>
          </w:tcPr>
          <w:p w:rsidR="001E00A7" w:rsidRDefault="001E00A7">
            <w:pPr>
              <w:spacing w:line="0" w:lineRule="atLeast"/>
              <w:jc w:val="both"/>
              <w:rPr>
                <w:rFonts w:ascii="標楷體" w:eastAsia="標楷體" w:hAnsi="標楷體" w:hint="eastAsia"/>
              </w:rPr>
            </w:pPr>
            <w:r>
              <w:rPr>
                <w:rFonts w:ascii="標楷體" w:eastAsia="標楷體" w:hAnsi="標楷體" w:hint="eastAsia"/>
                <w:bCs/>
              </w:rPr>
              <w:t>漁船漁業種類及作業水域為國際漁業組織實施作業漁船名單措施者</w:t>
            </w:r>
            <w:r>
              <w:rPr>
                <w:rFonts w:ascii="標楷體" w:eastAsia="標楷體" w:hAnsi="標楷體" w:hint="eastAsia"/>
              </w:rPr>
              <w:t>，該漁船應經國際漁業組織納入作業漁船名單後，始能出港作業。</w:t>
            </w:r>
          </w:p>
        </w:tc>
      </w:tr>
      <w:tr w:rsidR="001E00A7">
        <w:tc>
          <w:tcPr>
            <w:tcW w:w="4914" w:type="dxa"/>
          </w:tcPr>
          <w:p w:rsidR="001E00A7" w:rsidRDefault="001E00A7">
            <w:pPr>
              <w:spacing w:line="0" w:lineRule="atLeast"/>
              <w:ind w:left="240" w:hangingChars="100" w:hanging="240"/>
              <w:jc w:val="both"/>
              <w:rPr>
                <w:rFonts w:ascii="標楷體" w:eastAsia="標楷體" w:hAnsi="標楷體" w:hint="eastAsia"/>
              </w:rPr>
            </w:pPr>
            <w:r>
              <w:rPr>
                <w:rFonts w:ascii="標楷體" w:eastAsia="標楷體" w:hAnsi="標楷體" w:hint="eastAsia"/>
              </w:rPr>
              <w:t>第三條  漁船出港後，應依船籍國核准之漁區及作業水域作業。</w:t>
            </w:r>
          </w:p>
        </w:tc>
        <w:tc>
          <w:tcPr>
            <w:tcW w:w="4914" w:type="dxa"/>
          </w:tcPr>
          <w:p w:rsidR="001E00A7" w:rsidRDefault="001E00A7">
            <w:pPr>
              <w:spacing w:line="0" w:lineRule="atLeast"/>
              <w:jc w:val="both"/>
              <w:rPr>
                <w:rFonts w:ascii="標楷體" w:eastAsia="標楷體" w:hAnsi="標楷體" w:hint="eastAsia"/>
              </w:rPr>
            </w:pPr>
            <w:r>
              <w:rPr>
                <w:rFonts w:ascii="標楷體" w:eastAsia="標楷體" w:hAnsi="標楷體" w:hint="eastAsia"/>
              </w:rPr>
              <w:t>漁船出港作業後，應依船籍國核准之水域作業。</w:t>
            </w:r>
          </w:p>
        </w:tc>
      </w:tr>
      <w:tr w:rsidR="001E00A7">
        <w:tc>
          <w:tcPr>
            <w:tcW w:w="4914" w:type="dxa"/>
          </w:tcPr>
          <w:p w:rsidR="001E00A7" w:rsidRDefault="001E00A7">
            <w:pPr>
              <w:spacing w:line="0" w:lineRule="atLeast"/>
              <w:ind w:left="240" w:hangingChars="100" w:hanging="240"/>
              <w:jc w:val="both"/>
              <w:rPr>
                <w:rFonts w:ascii="標楷體" w:eastAsia="標楷體" w:hAnsi="標楷體" w:hint="eastAsia"/>
              </w:rPr>
            </w:pPr>
            <w:r>
              <w:rPr>
                <w:rFonts w:ascii="標楷體" w:eastAsia="標楷體" w:hAnsi="標楷體" w:hint="eastAsia"/>
              </w:rPr>
              <w:t>第四條  漁船出港後，應遵守作業水域之國際漁業組織及船籍國所定</w:t>
            </w:r>
            <w:r>
              <w:rPr>
                <w:rFonts w:ascii="標楷體" w:eastAsia="標楷體" w:hAnsi="標楷體" w:hint="eastAsia"/>
                <w:bCs/>
              </w:rPr>
              <w:t>下列</w:t>
            </w:r>
            <w:r>
              <w:rPr>
                <w:rFonts w:ascii="標楷體" w:eastAsia="標楷體" w:hAnsi="標楷體" w:hint="eastAsia"/>
              </w:rPr>
              <w:t>規定：</w:t>
            </w:r>
          </w:p>
          <w:p w:rsidR="001E00A7" w:rsidRDefault="001E00A7">
            <w:pPr>
              <w:numPr>
                <w:ilvl w:val="0"/>
                <w:numId w:val="5"/>
              </w:numPr>
              <w:spacing w:line="0" w:lineRule="atLeast"/>
              <w:jc w:val="both"/>
              <w:rPr>
                <w:rFonts w:ascii="標楷體" w:eastAsia="標楷體" w:hAnsi="標楷體" w:hint="eastAsia"/>
              </w:rPr>
            </w:pPr>
            <w:r>
              <w:rPr>
                <w:rFonts w:ascii="標楷體" w:eastAsia="標楷體" w:hAnsi="標楷體" w:hint="eastAsia"/>
              </w:rPr>
              <w:t>作業期間規定。</w:t>
            </w:r>
          </w:p>
          <w:p w:rsidR="001E00A7" w:rsidRDefault="001E00A7">
            <w:pPr>
              <w:numPr>
                <w:ilvl w:val="0"/>
                <w:numId w:val="5"/>
              </w:numPr>
              <w:spacing w:line="0" w:lineRule="atLeast"/>
              <w:jc w:val="both"/>
              <w:rPr>
                <w:rFonts w:ascii="標楷體" w:eastAsia="標楷體" w:hAnsi="標楷體" w:hint="eastAsia"/>
              </w:rPr>
            </w:pPr>
            <w:r>
              <w:rPr>
                <w:rFonts w:ascii="標楷體" w:eastAsia="標楷體" w:hAnsi="標楷體" w:hint="eastAsia"/>
              </w:rPr>
              <w:t>漁船船位回報規定。</w:t>
            </w:r>
          </w:p>
          <w:p w:rsidR="001E00A7" w:rsidRDefault="001E00A7">
            <w:pPr>
              <w:numPr>
                <w:ilvl w:val="0"/>
                <w:numId w:val="5"/>
              </w:numPr>
              <w:spacing w:line="0" w:lineRule="atLeast"/>
              <w:jc w:val="both"/>
              <w:rPr>
                <w:rFonts w:ascii="標楷體" w:eastAsia="標楷體" w:hAnsi="標楷體" w:hint="eastAsia"/>
              </w:rPr>
            </w:pPr>
            <w:r>
              <w:rPr>
                <w:rFonts w:ascii="標楷體" w:eastAsia="標楷體" w:hAnsi="標楷體" w:hint="eastAsia"/>
              </w:rPr>
              <w:t>漁具、漁撈方法限制規定。</w:t>
            </w:r>
          </w:p>
          <w:p w:rsidR="001E00A7" w:rsidRDefault="001E00A7">
            <w:pPr>
              <w:numPr>
                <w:ilvl w:val="0"/>
                <w:numId w:val="5"/>
              </w:numPr>
              <w:spacing w:line="0" w:lineRule="atLeast"/>
              <w:jc w:val="both"/>
              <w:rPr>
                <w:rFonts w:ascii="標楷體" w:eastAsia="標楷體" w:hAnsi="標楷體" w:hint="eastAsia"/>
              </w:rPr>
            </w:pPr>
            <w:r>
              <w:rPr>
                <w:rFonts w:ascii="標楷體" w:eastAsia="標楷體" w:hAnsi="標楷體" w:hint="eastAsia"/>
              </w:rPr>
              <w:t>漁獲配額之管理措施。</w:t>
            </w:r>
          </w:p>
          <w:p w:rsidR="001E00A7" w:rsidRDefault="001E00A7">
            <w:pPr>
              <w:numPr>
                <w:ilvl w:val="0"/>
                <w:numId w:val="5"/>
              </w:numPr>
              <w:spacing w:line="0" w:lineRule="atLeast"/>
              <w:jc w:val="both"/>
              <w:rPr>
                <w:rFonts w:ascii="標楷體" w:eastAsia="標楷體" w:hAnsi="標楷體" w:hint="eastAsia"/>
              </w:rPr>
            </w:pPr>
            <w:r>
              <w:rPr>
                <w:rFonts w:ascii="標楷體" w:eastAsia="標楷體" w:hAnsi="標楷體" w:hint="eastAsia"/>
              </w:rPr>
              <w:t>派遣觀察員措施。</w:t>
            </w:r>
          </w:p>
        </w:tc>
        <w:tc>
          <w:tcPr>
            <w:tcW w:w="4914" w:type="dxa"/>
          </w:tcPr>
          <w:p w:rsidR="001E00A7" w:rsidRDefault="001E00A7">
            <w:pPr>
              <w:spacing w:line="0" w:lineRule="atLeast"/>
              <w:ind w:left="480" w:hanging="480"/>
              <w:jc w:val="both"/>
              <w:rPr>
                <w:rFonts w:ascii="標楷體" w:eastAsia="標楷體" w:hAnsi="標楷體" w:hint="eastAsia"/>
              </w:rPr>
            </w:pPr>
            <w:r>
              <w:rPr>
                <w:rFonts w:ascii="標楷體" w:eastAsia="標楷體" w:hAnsi="標楷體" w:hint="eastAsia"/>
              </w:rPr>
              <w:t>一、漁船出港作業後，應遵守之作業規定。</w:t>
            </w:r>
          </w:p>
          <w:p w:rsidR="001E00A7" w:rsidRDefault="001E00A7">
            <w:pPr>
              <w:spacing w:line="0" w:lineRule="atLeast"/>
              <w:ind w:left="480" w:hanging="480"/>
              <w:jc w:val="both"/>
              <w:rPr>
                <w:rFonts w:ascii="標楷體" w:eastAsia="標楷體" w:hAnsi="標楷體" w:hint="eastAsia"/>
                <w:bCs/>
              </w:rPr>
            </w:pPr>
            <w:r>
              <w:rPr>
                <w:rFonts w:ascii="標楷體" w:eastAsia="標楷體" w:hAnsi="標楷體" w:hint="eastAsia"/>
                <w:bCs/>
              </w:rPr>
              <w:t>二、國際漁業組織或船籍國無本條所列規定事項，則不適用。</w:t>
            </w:r>
          </w:p>
        </w:tc>
      </w:tr>
      <w:tr w:rsidR="001E00A7">
        <w:tc>
          <w:tcPr>
            <w:tcW w:w="4914" w:type="dxa"/>
          </w:tcPr>
          <w:p w:rsidR="001E00A7" w:rsidRDefault="001E00A7">
            <w:pPr>
              <w:spacing w:line="0" w:lineRule="atLeast"/>
              <w:ind w:left="120" w:hangingChars="50" w:hanging="120"/>
              <w:jc w:val="both"/>
              <w:rPr>
                <w:rFonts w:ascii="標楷體" w:eastAsia="標楷體" w:hAnsi="標楷體" w:hint="eastAsia"/>
              </w:rPr>
            </w:pPr>
            <w:r>
              <w:rPr>
                <w:rFonts w:ascii="標楷體" w:eastAsia="標楷體" w:hAnsi="標楷體" w:hint="eastAsia"/>
              </w:rPr>
              <w:t>第五條  本辦法自發布日施行。</w:t>
            </w:r>
          </w:p>
        </w:tc>
        <w:tc>
          <w:tcPr>
            <w:tcW w:w="4914" w:type="dxa"/>
          </w:tcPr>
          <w:p w:rsidR="001E00A7" w:rsidRDefault="001E00A7">
            <w:pPr>
              <w:spacing w:line="0" w:lineRule="atLeast"/>
              <w:jc w:val="both"/>
              <w:rPr>
                <w:rFonts w:ascii="標楷體" w:eastAsia="標楷體" w:hAnsi="標楷體" w:hint="eastAsia"/>
                <w:b/>
                <w:color w:val="339966"/>
                <w:u w:val="single"/>
              </w:rPr>
            </w:pPr>
            <w:r>
              <w:rPr>
                <w:rFonts w:ascii="標楷體" w:eastAsia="標楷體" w:hAnsi="標楷體" w:hint="eastAsia"/>
              </w:rPr>
              <w:t>本辦法之施行日期。</w:t>
            </w:r>
          </w:p>
        </w:tc>
      </w:tr>
    </w:tbl>
    <w:p w:rsidR="001E00A7" w:rsidRDefault="001E00A7"/>
    <w:p w:rsidR="00126A49" w:rsidRDefault="00126A49">
      <w:pPr>
        <w:tabs>
          <w:tab w:val="left" w:pos="2340"/>
        </w:tabs>
        <w:rPr>
          <w:rFonts w:eastAsia="標楷體"/>
          <w:sz w:val="28"/>
        </w:rPr>
        <w:sectPr w:rsidR="00126A49">
          <w:pgSz w:w="11906" w:h="16838"/>
          <w:pgMar w:top="1440" w:right="926" w:bottom="1440" w:left="1260" w:header="708" w:footer="708" w:gutter="0"/>
          <w:cols w:space="708"/>
          <w:docGrid w:linePitch="360"/>
        </w:sectPr>
      </w:pPr>
    </w:p>
    <w:p w:rsidR="001E00A7" w:rsidRDefault="001E00A7">
      <w:pPr>
        <w:tabs>
          <w:tab w:val="left" w:pos="2340"/>
        </w:tabs>
        <w:rPr>
          <w:rFonts w:eastAsia="標楷體" w:hint="eastAsia"/>
          <w:sz w:val="28"/>
        </w:rPr>
      </w:pPr>
    </w:p>
    <w:sectPr w:rsidR="001E00A7">
      <w:pgSz w:w="11906" w:h="16838"/>
      <w:pgMar w:top="1440" w:right="926" w:bottom="144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1C92"/>
    <w:multiLevelType w:val="hybridMultilevel"/>
    <w:tmpl w:val="DD5C8FF4"/>
    <w:lvl w:ilvl="0" w:tplc="E35CE9B8">
      <w:start w:val="4"/>
      <w:numFmt w:val="taiwaneseCountingThousand"/>
      <w:lvlText w:val="第%1條"/>
      <w:lvlJc w:val="left"/>
      <w:pPr>
        <w:tabs>
          <w:tab w:val="num" w:pos="765"/>
        </w:tabs>
        <w:ind w:left="765" w:hanging="76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3AD8236D"/>
    <w:multiLevelType w:val="hybridMultilevel"/>
    <w:tmpl w:val="CB0ABF9C"/>
    <w:lvl w:ilvl="0" w:tplc="76C4A746">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nsid w:val="59734B55"/>
    <w:multiLevelType w:val="hybridMultilevel"/>
    <w:tmpl w:val="2952B448"/>
    <w:lvl w:ilvl="0" w:tplc="0414E0C2">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5F2A2AD9"/>
    <w:multiLevelType w:val="hybridMultilevel"/>
    <w:tmpl w:val="7E9226C4"/>
    <w:lvl w:ilvl="0" w:tplc="BAA4D958">
      <w:start w:val="1"/>
      <w:numFmt w:val="taiwaneseCountingThousand"/>
      <w:lvlText w:val="%1、"/>
      <w:lvlJc w:val="left"/>
      <w:pPr>
        <w:tabs>
          <w:tab w:val="num" w:pos="750"/>
        </w:tabs>
        <w:ind w:left="750" w:hanging="51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
    <w:nsid w:val="726C63B5"/>
    <w:multiLevelType w:val="hybridMultilevel"/>
    <w:tmpl w:val="C1DA3F2A"/>
    <w:lvl w:ilvl="0" w:tplc="A2D427EA">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nsid w:val="7CF16BA0"/>
    <w:multiLevelType w:val="hybridMultilevel"/>
    <w:tmpl w:val="8FB21C1C"/>
    <w:lvl w:ilvl="0" w:tplc="7E10B760">
      <w:start w:val="2"/>
      <w:numFmt w:val="taiwaneseCountingThousand"/>
      <w:lvlText w:val="第%1條"/>
      <w:lvlJc w:val="left"/>
      <w:pPr>
        <w:tabs>
          <w:tab w:val="num" w:pos="750"/>
        </w:tabs>
        <w:ind w:left="750" w:hanging="7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CB8"/>
    <w:rsid w:val="00126A49"/>
    <w:rsid w:val="001E00A7"/>
    <w:rsid w:val="003F56B9"/>
    <w:rsid w:val="00546CB8"/>
    <w:rsid w:val="007843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
    <w:name w:val="樣式2"/>
    <w:basedOn w:val="a"/>
    <w:autoRedefine/>
    <w:pPr>
      <w:widowControl w:val="0"/>
      <w:jc w:val="center"/>
    </w:pPr>
    <w:rPr>
      <w:rFonts w:eastAsia="標楷體"/>
      <w:b/>
      <w:bCs/>
      <w:kern w:val="2"/>
      <w:sz w:val="32"/>
    </w:rPr>
  </w:style>
  <w:style w:type="paragraph" w:customStyle="1" w:styleId="15">
    <w:name w:val="樣式15"/>
    <w:basedOn w:val="a"/>
    <w:autoRedefine/>
    <w:pPr>
      <w:widowControl w:val="0"/>
      <w:spacing w:line="360" w:lineRule="auto"/>
      <w:jc w:val="center"/>
    </w:pPr>
    <w:rPr>
      <w:rFonts w:eastAsia="標楷體"/>
      <w:kern w:val="2"/>
      <w:sz w:val="28"/>
    </w:rPr>
  </w:style>
  <w:style w:type="paragraph" w:styleId="a3">
    <w:name w:val="Body Text Indent"/>
    <w:basedOn w:val="a"/>
    <w:pPr>
      <w:widowControl w:val="0"/>
      <w:spacing w:line="0" w:lineRule="atLeast"/>
      <w:ind w:left="720" w:hangingChars="300" w:hanging="720"/>
      <w:jc w:val="both"/>
    </w:pPr>
    <w:rPr>
      <w:rFonts w:ascii="標楷體" w:eastAsia="標楷體" w:hAnsi="標楷體"/>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
    <w:name w:val="樣式2"/>
    <w:basedOn w:val="a"/>
    <w:autoRedefine/>
    <w:pPr>
      <w:widowControl w:val="0"/>
      <w:jc w:val="center"/>
    </w:pPr>
    <w:rPr>
      <w:rFonts w:eastAsia="標楷體"/>
      <w:b/>
      <w:bCs/>
      <w:kern w:val="2"/>
      <w:sz w:val="32"/>
    </w:rPr>
  </w:style>
  <w:style w:type="paragraph" w:customStyle="1" w:styleId="15">
    <w:name w:val="樣式15"/>
    <w:basedOn w:val="a"/>
    <w:autoRedefine/>
    <w:pPr>
      <w:widowControl w:val="0"/>
      <w:spacing w:line="360" w:lineRule="auto"/>
      <w:jc w:val="center"/>
    </w:pPr>
    <w:rPr>
      <w:rFonts w:eastAsia="標楷體"/>
      <w:kern w:val="2"/>
      <w:sz w:val="28"/>
    </w:rPr>
  </w:style>
  <w:style w:type="paragraph" w:styleId="a3">
    <w:name w:val="Body Text Indent"/>
    <w:basedOn w:val="a"/>
    <w:pPr>
      <w:widowControl w:val="0"/>
      <w:spacing w:line="0" w:lineRule="atLeast"/>
      <w:ind w:left="720" w:hangingChars="300" w:hanging="720"/>
      <w:jc w:val="both"/>
    </w:pPr>
    <w:rPr>
      <w:rFonts w:ascii="標楷體" w:eastAsia="標楷體" w:hAnsi="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Words>
  <Characters>693</Characters>
  <Application>Microsoft Office Word</Application>
  <DocSecurity>0</DocSecurity>
  <Lines>5</Lines>
  <Paragraphs>1</Paragraphs>
  <ScaleCrop>false</ScaleCrop>
  <Company>Fisheries Agency</Company>
  <LinksUpToDate>false</LinksUpToDate>
  <CharactersWithSpaces>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「投資經營非我國籍漁船管理條例」子法</dc:title>
  <dc:creator>USER113</dc:creator>
  <cp:lastModifiedBy>Chang Hebe</cp:lastModifiedBy>
  <cp:revision>2</cp:revision>
  <cp:lastPrinted>2009-03-25T03:34:00Z</cp:lastPrinted>
  <dcterms:created xsi:type="dcterms:W3CDTF">2021-07-01T06:39:00Z</dcterms:created>
  <dcterms:modified xsi:type="dcterms:W3CDTF">2021-07-01T06:39:00Z</dcterms:modified>
</cp:coreProperties>
</file>